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diagrams/quickStyle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Override PartName="/word/diagrams/colors1.xml" ContentType="application/vnd.openxmlformats-officedocument.drawingml.diagramColor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charts/chart1.xml" ContentType="application/vnd.openxmlformats-officedocument.drawingml.chart+xml"/>
  <Override PartName="/word/diagrams/layout1.xml" ContentType="application/vnd.openxmlformats-officedocument.drawingml.diagramLayou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747C" w:rsidRDefault="00BE1DDD" w:rsidP="001D26AD">
      <w:pPr>
        <w:spacing w:line="360" w:lineRule="auto"/>
        <w:rPr>
          <w:rFonts w:ascii="MS Reference Sans Serif" w:hAnsi="MS Reference Sans Serif"/>
          <w:sz w:val="24"/>
          <w:szCs w:val="24"/>
          <w:lang w:val="es-ES_tradnl"/>
        </w:rPr>
      </w:pPr>
      <w:r w:rsidRPr="005B250D">
        <w:rPr>
          <w:rFonts w:ascii="MS Reference Sans Serif" w:hAnsi="MS Reference Sans Serif"/>
          <w:noProof/>
          <w:sz w:val="24"/>
          <w:szCs w:val="24"/>
          <w:lang w:val="es-ES_tradnl"/>
        </w:rPr>
        <w:pict>
          <v:shapetype id="_x0000_t202" coordsize="21600,21600" o:spt="202" path="m,l,21600r21600,l21600,xe">
            <v:stroke joinstyle="miter"/>
            <v:path gradientshapeok="t" o:connecttype="rect"/>
          </v:shapetype>
          <v:shape id="_x0000_s1047" type="#_x0000_t202" style="position:absolute;margin-left:158.8pt;margin-top:330.95pt;width:172.75pt;height:21.25pt;z-index:251680768;mso-height-percent:200;mso-height-percent:200;mso-width-relative:margin;mso-height-relative:margin" stroked="f">
            <v:textbox style="mso-fit-shape-to-text:t">
              <w:txbxContent>
                <w:p w:rsidR="000C7C9A" w:rsidRPr="00BE1DDD" w:rsidRDefault="000C7C9A" w:rsidP="005B250D">
                  <w:pPr>
                    <w:jc w:val="center"/>
                    <w:rPr>
                      <w:rFonts w:asciiTheme="majorHAnsi" w:hAnsiTheme="majorHAnsi"/>
                      <w:b/>
                      <w:color w:val="A6A6A6" w:themeColor="background1" w:themeShade="A6"/>
                      <w:sz w:val="24"/>
                      <w:szCs w:val="24"/>
                    </w:rPr>
                  </w:pPr>
                  <w:r w:rsidRPr="00BE1DDD">
                    <w:rPr>
                      <w:rFonts w:asciiTheme="majorHAnsi" w:hAnsiTheme="majorHAnsi"/>
                      <w:b/>
                      <w:color w:val="A6A6A6" w:themeColor="background1" w:themeShade="A6"/>
                      <w:sz w:val="24"/>
                      <w:szCs w:val="24"/>
                    </w:rPr>
                    <w:t>Octubre 2013</w:t>
                  </w:r>
                </w:p>
              </w:txbxContent>
            </v:textbox>
          </v:shape>
        </w:pict>
      </w:r>
      <w:r>
        <w:rPr>
          <w:rFonts w:ascii="MS Reference Sans Serif" w:hAnsi="MS Reference Sans Serif"/>
          <w:noProof/>
          <w:sz w:val="24"/>
          <w:szCs w:val="24"/>
          <w:lang w:eastAsia="es-ES"/>
        </w:rPr>
        <w:drawing>
          <wp:anchor distT="0" distB="0" distL="114300" distR="114300" simplePos="0" relativeHeight="251681792" behindDoc="0" locked="0" layoutInCell="1" allowOverlap="1">
            <wp:simplePos x="0" y="0"/>
            <wp:positionH relativeFrom="column">
              <wp:posOffset>1839433</wp:posOffset>
            </wp:positionH>
            <wp:positionV relativeFrom="paragraph">
              <wp:posOffset>6687879</wp:posOffset>
            </wp:positionV>
            <wp:extent cx="2583712" cy="882502"/>
            <wp:effectExtent l="0" t="0" r="0" b="0"/>
            <wp:wrapNone/>
            <wp:docPr id="4" name="Imagen 1" descr="http://sitios.usac.edu.gt/wp_edc/wp-content/uploads/2012/08/Tricentenaria-USA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tios.usac.edu.gt/wp_edc/wp-content/uploads/2012/08/Tricentenaria-USAC.png"/>
                    <pic:cNvPicPr>
                      <a:picLocks noChangeAspect="1" noChangeArrowheads="1"/>
                    </pic:cNvPicPr>
                  </pic:nvPicPr>
                  <pic:blipFill>
                    <a:blip r:embed="rId8" cstate="print"/>
                    <a:srcRect/>
                    <a:stretch>
                      <a:fillRect/>
                    </a:stretch>
                  </pic:blipFill>
                  <pic:spPr bwMode="auto">
                    <a:xfrm>
                      <a:off x="0" y="0"/>
                      <a:ext cx="2583712" cy="882502"/>
                    </a:xfrm>
                    <a:prstGeom prst="rect">
                      <a:avLst/>
                    </a:prstGeom>
                    <a:noFill/>
                    <a:ln w="9525">
                      <a:noFill/>
                      <a:miter lim="800000"/>
                      <a:headEnd/>
                      <a:tailEnd/>
                    </a:ln>
                  </pic:spPr>
                </pic:pic>
              </a:graphicData>
            </a:graphic>
          </wp:anchor>
        </w:drawing>
      </w:r>
      <w:r w:rsidR="004D000D">
        <w:rPr>
          <w:rFonts w:ascii="MS Reference Sans Serif" w:hAnsi="MS Reference Sans Serif"/>
          <w:noProof/>
          <w:sz w:val="24"/>
          <w:szCs w:val="24"/>
          <w:lang w:eastAsia="es-ES"/>
        </w:rPr>
        <w:pict>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028" type="#_x0000_t19" style="position:absolute;margin-left:368.8pt;margin-top:-100.85pt;width:231.9pt;height:321.75pt;z-index:251661312;mso-position-horizontal-relative:text;mso-position-vertical-relative:text" coordsize="21600,27132" adj=",972465" path="wr-21600,,21600,43200,,,20880,27132nfewr-21600,,21600,43200,,,20880,27132l,21600nsxe" filled="t" fillcolor="white [3201]" strokecolor="gray [1629]" strokeweight="2.5pt">
            <v:shadow color="#868686"/>
            <v:path o:connectlocs="0,0;20880,27132;0,21600"/>
          </v:shape>
        </w:pict>
      </w:r>
      <w:r w:rsidR="004D000D">
        <w:rPr>
          <w:rFonts w:ascii="MS Reference Sans Serif" w:hAnsi="MS Reference Sans Serif"/>
          <w:noProof/>
          <w:sz w:val="24"/>
          <w:szCs w:val="24"/>
          <w:lang w:eastAsia="es-ES"/>
        </w:rPr>
        <w:pict>
          <v:shapetype id="_x0000_t32" coordsize="21600,21600" o:spt="32" o:oned="t" path="m,l21600,21600e" filled="f">
            <v:path arrowok="t" fillok="f" o:connecttype="none"/>
            <o:lock v:ext="edit" shapetype="t"/>
          </v:shapetype>
          <v:shape id="_x0000_s1032" type="#_x0000_t32" style="position:absolute;margin-left:94.3pt;margin-top:241.2pt;width:301.4pt;height:0;z-index:251665408;mso-position-horizontal-relative:text;mso-position-vertical-relative:text" o:connectortype="straight" strokecolor="gray [1629]" strokeweight="2pt"/>
        </w:pict>
      </w:r>
      <w:r w:rsidR="004D000D" w:rsidRPr="004D000D">
        <w:rPr>
          <w:rFonts w:ascii="MS Reference Sans Serif" w:hAnsi="MS Reference Sans Serif"/>
          <w:noProof/>
          <w:sz w:val="24"/>
          <w:szCs w:val="24"/>
          <w:lang w:val="es-ES_tradnl"/>
        </w:rPr>
        <w:pict>
          <v:shape id="_x0000_s1027" type="#_x0000_t202" style="position:absolute;margin-left:93.45pt;margin-top:149.7pt;width:314.7pt;height:181.25pt;z-index:251664384;mso-position-horizontal-relative:text;mso-position-vertical-relative:text;mso-width-relative:margin;mso-height-relative:margin" strokecolor="white [3212]">
            <v:textbox>
              <w:txbxContent>
                <w:p w:rsidR="000C7C9A" w:rsidRPr="001C22AA" w:rsidRDefault="000C7C9A" w:rsidP="004D3C86">
                  <w:pPr>
                    <w:jc w:val="center"/>
                    <w:rPr>
                      <w:rFonts w:asciiTheme="majorHAnsi" w:hAnsiTheme="majorHAnsi"/>
                      <w:b/>
                      <w:color w:val="7F7F7F" w:themeColor="text1" w:themeTint="80"/>
                      <w:sz w:val="72"/>
                      <w:szCs w:val="72"/>
                      <w:lang w:val="es-ES_tradnl"/>
                    </w:rPr>
                  </w:pPr>
                  <w:r w:rsidRPr="00BE1DDD">
                    <w:rPr>
                      <w:rFonts w:asciiTheme="majorHAnsi" w:hAnsiTheme="majorHAnsi"/>
                      <w:b/>
                      <w:color w:val="7F7F7F" w:themeColor="text1" w:themeTint="80"/>
                      <w:sz w:val="80"/>
                      <w:szCs w:val="80"/>
                      <w:lang w:val="es-ES_tradnl"/>
                    </w:rPr>
                    <w:t>I</w:t>
                  </w:r>
                  <w:r w:rsidRPr="001C22AA">
                    <w:rPr>
                      <w:rFonts w:asciiTheme="majorHAnsi" w:hAnsiTheme="majorHAnsi"/>
                      <w:b/>
                      <w:color w:val="7F7F7F" w:themeColor="text1" w:themeTint="80"/>
                      <w:sz w:val="72"/>
                      <w:szCs w:val="72"/>
                      <w:lang w:val="es-ES_tradnl"/>
                    </w:rPr>
                    <w:t xml:space="preserve">ndicadores de alerta temprana </w:t>
                  </w:r>
                </w:p>
                <w:p w:rsidR="000C7C9A" w:rsidRPr="00F11730" w:rsidRDefault="000C7C9A" w:rsidP="004D3C86">
                  <w:pPr>
                    <w:jc w:val="center"/>
                    <w:rPr>
                      <w:rFonts w:asciiTheme="majorHAnsi" w:hAnsiTheme="majorHAnsi"/>
                      <w:b/>
                      <w:color w:val="7F7F7F" w:themeColor="text1" w:themeTint="80"/>
                      <w:sz w:val="44"/>
                      <w:szCs w:val="44"/>
                      <w:lang w:val="es-ES_tradnl"/>
                    </w:rPr>
                  </w:pPr>
                  <w:r w:rsidRPr="00BE1DDD">
                    <w:rPr>
                      <w:rFonts w:asciiTheme="majorHAnsi" w:hAnsiTheme="majorHAnsi"/>
                      <w:b/>
                      <w:color w:val="7F7F7F" w:themeColor="text1" w:themeTint="80"/>
                      <w:sz w:val="50"/>
                      <w:szCs w:val="50"/>
                      <w:lang w:val="es-ES_tradnl"/>
                    </w:rPr>
                    <w:t>V</w:t>
                  </w:r>
                  <w:r w:rsidRPr="00F11730">
                    <w:rPr>
                      <w:rFonts w:asciiTheme="majorHAnsi" w:hAnsiTheme="majorHAnsi"/>
                      <w:b/>
                      <w:color w:val="7F7F7F" w:themeColor="text1" w:themeTint="80"/>
                      <w:sz w:val="44"/>
                      <w:szCs w:val="44"/>
                      <w:lang w:val="es-ES_tradnl"/>
                    </w:rPr>
                    <w:t xml:space="preserve">iolencia </w:t>
                  </w:r>
                  <w:r w:rsidRPr="00BE1DDD">
                    <w:rPr>
                      <w:rFonts w:asciiTheme="majorHAnsi" w:hAnsiTheme="majorHAnsi"/>
                      <w:b/>
                      <w:color w:val="7F7F7F" w:themeColor="text1" w:themeTint="80"/>
                      <w:sz w:val="50"/>
                      <w:szCs w:val="50"/>
                      <w:lang w:val="es-ES_tradnl"/>
                    </w:rPr>
                    <w:t>C</w:t>
                  </w:r>
                  <w:r w:rsidRPr="00F11730">
                    <w:rPr>
                      <w:rFonts w:asciiTheme="majorHAnsi" w:hAnsiTheme="majorHAnsi"/>
                      <w:b/>
                      <w:color w:val="7F7F7F" w:themeColor="text1" w:themeTint="80"/>
                      <w:sz w:val="44"/>
                      <w:szCs w:val="44"/>
                      <w:lang w:val="es-ES_tradnl"/>
                    </w:rPr>
                    <w:t>olectiva</w:t>
                  </w:r>
                </w:p>
                <w:p w:rsidR="000C7C9A" w:rsidRPr="001C22AA" w:rsidRDefault="000C7C9A" w:rsidP="00F11730">
                  <w:pPr>
                    <w:jc w:val="center"/>
                    <w:rPr>
                      <w:rFonts w:ascii="Cambria Math" w:hAnsi="Cambria Math"/>
                      <w:b/>
                      <w:color w:val="7F7F7F" w:themeColor="text1" w:themeTint="80"/>
                      <w:sz w:val="44"/>
                      <w:szCs w:val="44"/>
                      <w:lang w:val="es-ES_tradnl"/>
                    </w:rPr>
                  </w:pPr>
                  <w:r w:rsidRPr="001C22AA">
                    <w:rPr>
                      <w:rFonts w:ascii="Cambria Math" w:hAnsi="Cambria Math"/>
                      <w:b/>
                      <w:color w:val="7F7F7F" w:themeColor="text1" w:themeTint="80"/>
                      <w:sz w:val="44"/>
                      <w:szCs w:val="44"/>
                      <w:lang w:val="es-ES_tradnl"/>
                    </w:rPr>
                    <w:t>- terrorismo, vigilantismo, vapuleos y linchamientos-</w:t>
                  </w:r>
                </w:p>
              </w:txbxContent>
            </v:textbox>
          </v:shape>
        </w:pict>
      </w:r>
      <w:r w:rsidR="004D000D">
        <w:rPr>
          <w:rFonts w:ascii="MS Reference Sans Serif" w:hAnsi="MS Reference Sans Serif"/>
          <w:noProof/>
          <w:sz w:val="24"/>
          <w:szCs w:val="24"/>
          <w:lang w:eastAsia="es-ES"/>
        </w:rPr>
        <w:pict>
          <v:shape id="_x0000_s1029" type="#_x0000_t19" style="position:absolute;margin-left:345.8pt;margin-top:-78.85pt;width:231.9pt;height:321.75pt;z-index:251662336;mso-position-horizontal-relative:text;mso-position-vertical-relative:text" coordsize="21600,27132" adj=",972465" path="wr-21600,,21600,43200,,,20880,27132nfewr-21600,,21600,43200,,,20880,27132l,21600nsxe" filled="t" fillcolor="white [3201]" strokecolor="#5a5a5a [2109]" strokeweight="2.5pt">
            <v:shadow color="#868686"/>
            <v:path o:connectlocs="0,0;20880,27132;0,21600"/>
          </v:shape>
        </w:pict>
      </w:r>
      <w:r w:rsidR="004D000D">
        <w:rPr>
          <w:rFonts w:ascii="MS Reference Sans Serif" w:hAnsi="MS Reference Sans Serif"/>
          <w:noProof/>
          <w:sz w:val="24"/>
          <w:szCs w:val="24"/>
          <w:lang w:eastAsia="es-ES"/>
        </w:rPr>
        <w:pict>
          <v:shape id="_x0000_s1031" type="#_x0000_t19" style="position:absolute;margin-left:233.6pt;margin-top:-78.85pt;width:320.95pt;height:321.75pt;z-index:251663360;mso-position-horizontal-relative:text;mso-position-vertical-relative:text" coordsize="21600,27132" adj=",972465" path="wr-21600,,21600,43200,,,20880,27132nfewr-21600,,21600,43200,,,20880,27132l,21600nsxe" filled="t" fillcolor="white [3201]" strokecolor="#404040 [2429]" strokeweight="2.5pt">
            <v:shadow color="#868686"/>
            <v:path o:connectlocs="0,0;20880,27132;0,21600"/>
          </v:shape>
        </w:pict>
      </w:r>
      <w:r w:rsidR="004D000D">
        <w:rPr>
          <w:rFonts w:ascii="MS Reference Sans Serif" w:hAnsi="MS Reference Sans Serif"/>
          <w:noProof/>
          <w:sz w:val="24"/>
          <w:szCs w:val="24"/>
          <w:lang w:eastAsia="es-ES"/>
        </w:rPr>
        <w:pict>
          <v:shape id="_x0000_s1026" type="#_x0000_t19" style="position:absolute;margin-left:331.55pt;margin-top:-72.65pt;width:231.9pt;height:321.75pt;z-index:251658240;mso-position-horizontal-relative:text;mso-position-vertical-relative:text" coordsize="21600,27132" adj=",972465" path="wr-21600,,21600,43200,,,20880,27132nfewr-21600,,21600,43200,,,20880,27132l,21600nsxe" filled="t" fillcolor="white [3201]" strokecolor="gray [1629]" strokeweight="2.5pt">
            <v:shadow color="#868686"/>
            <v:path o:connectlocs="0,0;20880,27132;0,21600"/>
          </v:shape>
        </w:pict>
      </w:r>
      <w:r w:rsidR="004D3C86">
        <w:rPr>
          <w:rFonts w:ascii="MS Reference Sans Serif" w:hAnsi="MS Reference Sans Serif"/>
          <w:sz w:val="24"/>
          <w:szCs w:val="24"/>
          <w:lang w:val="es-ES_tradnl"/>
        </w:rPr>
        <w:br w:type="page"/>
      </w:r>
    </w:p>
    <w:sdt>
      <w:sdtPr>
        <w:id w:val="323004"/>
        <w:docPartObj>
          <w:docPartGallery w:val="Table of Contents"/>
          <w:docPartUnique/>
        </w:docPartObj>
      </w:sdtPr>
      <w:sdtEndPr>
        <w:rPr>
          <w:rFonts w:ascii="Arial" w:eastAsiaTheme="minorHAnsi" w:hAnsi="Arial" w:cs="Arial"/>
          <w:b w:val="0"/>
          <w:bCs w:val="0"/>
          <w:color w:val="auto"/>
          <w:sz w:val="22"/>
          <w:szCs w:val="22"/>
        </w:rPr>
      </w:sdtEndPr>
      <w:sdtContent>
        <w:p w:rsidR="0009073B" w:rsidRDefault="0009073B">
          <w:pPr>
            <w:pStyle w:val="TtulodeTDC"/>
          </w:pPr>
          <w:r>
            <w:t>Contenido</w:t>
          </w:r>
        </w:p>
        <w:p w:rsidR="0009073B" w:rsidRPr="0009073B" w:rsidRDefault="0009073B">
          <w:pPr>
            <w:pStyle w:val="TDC1"/>
            <w:tabs>
              <w:tab w:val="left" w:pos="440"/>
              <w:tab w:val="right" w:leader="dot" w:pos="9352"/>
            </w:tabs>
            <w:rPr>
              <w:rFonts w:ascii="MS Reference Sans Serif" w:hAnsi="MS Reference Sans Serif"/>
              <w:b/>
              <w:noProof/>
              <w:color w:val="1F497D" w:themeColor="text2"/>
            </w:rPr>
          </w:pPr>
          <w:r w:rsidRPr="0009073B">
            <w:rPr>
              <w:rFonts w:ascii="MS Reference Sans Serif" w:hAnsi="MS Reference Sans Serif"/>
              <w:b/>
              <w:color w:val="1F497D" w:themeColor="text2"/>
            </w:rPr>
            <w:fldChar w:fldCharType="begin"/>
          </w:r>
          <w:r w:rsidRPr="0009073B">
            <w:rPr>
              <w:rFonts w:ascii="MS Reference Sans Serif" w:hAnsi="MS Reference Sans Serif"/>
              <w:b/>
              <w:color w:val="1F497D" w:themeColor="text2"/>
            </w:rPr>
            <w:instrText xml:space="preserve"> TOC \o "1-3" \h \z \u </w:instrText>
          </w:r>
          <w:r w:rsidRPr="0009073B">
            <w:rPr>
              <w:rFonts w:ascii="MS Reference Sans Serif" w:hAnsi="MS Reference Sans Serif"/>
              <w:b/>
              <w:color w:val="1F497D" w:themeColor="text2"/>
            </w:rPr>
            <w:fldChar w:fldCharType="separate"/>
          </w:r>
          <w:hyperlink w:anchor="_Toc369732048" w:history="1">
            <w:r w:rsidRPr="0009073B">
              <w:rPr>
                <w:rStyle w:val="Hipervnculo"/>
                <w:rFonts w:ascii="MS Reference Sans Serif" w:hAnsi="MS Reference Sans Serif"/>
                <w:b/>
                <w:noProof/>
                <w:color w:val="1F497D" w:themeColor="text2"/>
              </w:rPr>
              <w:t>1.</w:t>
            </w:r>
            <w:r w:rsidRPr="0009073B">
              <w:rPr>
                <w:rFonts w:ascii="MS Reference Sans Serif" w:hAnsi="MS Reference Sans Serif"/>
                <w:b/>
                <w:noProof/>
                <w:color w:val="1F497D" w:themeColor="text2"/>
              </w:rPr>
              <w:tab/>
            </w:r>
            <w:r w:rsidRPr="0009073B">
              <w:rPr>
                <w:rStyle w:val="Hipervnculo"/>
                <w:rFonts w:ascii="MS Reference Sans Serif" w:hAnsi="MS Reference Sans Serif"/>
                <w:b/>
                <w:noProof/>
                <w:color w:val="1F497D" w:themeColor="text2"/>
                <w:lang w:val="es-ES_tradnl"/>
              </w:rPr>
              <w:t>Antecedentes</w:t>
            </w:r>
            <w:r w:rsidRPr="0009073B">
              <w:rPr>
                <w:rFonts w:ascii="MS Reference Sans Serif" w:hAnsi="MS Reference Sans Serif"/>
                <w:b/>
                <w:noProof/>
                <w:webHidden/>
                <w:color w:val="1F497D" w:themeColor="text2"/>
              </w:rPr>
              <w:tab/>
            </w:r>
            <w:r w:rsidRPr="0009073B">
              <w:rPr>
                <w:rFonts w:ascii="MS Reference Sans Serif" w:hAnsi="MS Reference Sans Serif"/>
                <w:b/>
                <w:noProof/>
                <w:webHidden/>
                <w:color w:val="1F497D" w:themeColor="text2"/>
              </w:rPr>
              <w:fldChar w:fldCharType="begin"/>
            </w:r>
            <w:r w:rsidRPr="0009073B">
              <w:rPr>
                <w:rFonts w:ascii="MS Reference Sans Serif" w:hAnsi="MS Reference Sans Serif"/>
                <w:b/>
                <w:noProof/>
                <w:webHidden/>
                <w:color w:val="1F497D" w:themeColor="text2"/>
              </w:rPr>
              <w:instrText xml:space="preserve"> PAGEREF _Toc369732048 \h </w:instrText>
            </w:r>
            <w:r w:rsidRPr="0009073B">
              <w:rPr>
                <w:rFonts w:ascii="MS Reference Sans Serif" w:hAnsi="MS Reference Sans Serif"/>
                <w:b/>
                <w:noProof/>
                <w:webHidden/>
                <w:color w:val="1F497D" w:themeColor="text2"/>
              </w:rPr>
            </w:r>
            <w:r w:rsidRPr="0009073B">
              <w:rPr>
                <w:rFonts w:ascii="MS Reference Sans Serif" w:hAnsi="MS Reference Sans Serif"/>
                <w:b/>
                <w:noProof/>
                <w:webHidden/>
                <w:color w:val="1F497D" w:themeColor="text2"/>
              </w:rPr>
              <w:fldChar w:fldCharType="separate"/>
            </w:r>
            <w:r w:rsidRPr="0009073B">
              <w:rPr>
                <w:rFonts w:ascii="MS Reference Sans Serif" w:hAnsi="MS Reference Sans Serif"/>
                <w:b/>
                <w:noProof/>
                <w:webHidden/>
                <w:color w:val="1F497D" w:themeColor="text2"/>
              </w:rPr>
              <w:t>3</w:t>
            </w:r>
            <w:r w:rsidRPr="0009073B">
              <w:rPr>
                <w:rFonts w:ascii="MS Reference Sans Serif" w:hAnsi="MS Reference Sans Serif"/>
                <w:b/>
                <w:noProof/>
                <w:webHidden/>
                <w:color w:val="1F497D" w:themeColor="text2"/>
              </w:rPr>
              <w:fldChar w:fldCharType="end"/>
            </w:r>
          </w:hyperlink>
        </w:p>
        <w:p w:rsidR="0009073B" w:rsidRPr="0009073B" w:rsidRDefault="0009073B">
          <w:pPr>
            <w:pStyle w:val="TDC1"/>
            <w:tabs>
              <w:tab w:val="left" w:pos="660"/>
              <w:tab w:val="right" w:leader="dot" w:pos="9352"/>
            </w:tabs>
            <w:rPr>
              <w:rFonts w:ascii="MS Reference Sans Serif" w:hAnsi="MS Reference Sans Serif"/>
              <w:b/>
              <w:noProof/>
              <w:color w:val="1F497D" w:themeColor="text2"/>
            </w:rPr>
          </w:pPr>
          <w:hyperlink w:anchor="_Toc369732049" w:history="1">
            <w:r w:rsidRPr="0009073B">
              <w:rPr>
                <w:rStyle w:val="Hipervnculo"/>
                <w:rFonts w:ascii="MS Reference Sans Serif" w:hAnsi="MS Reference Sans Serif"/>
                <w:b/>
                <w:noProof/>
                <w:color w:val="1F497D" w:themeColor="text2"/>
                <w:lang w:val="es-ES_tradnl"/>
              </w:rPr>
              <w:t>1.1.</w:t>
            </w:r>
            <w:r w:rsidRPr="0009073B">
              <w:rPr>
                <w:rFonts w:ascii="MS Reference Sans Serif" w:hAnsi="MS Reference Sans Serif"/>
                <w:b/>
                <w:noProof/>
                <w:color w:val="1F497D" w:themeColor="text2"/>
              </w:rPr>
              <w:tab/>
            </w:r>
            <w:r w:rsidRPr="0009073B">
              <w:rPr>
                <w:rStyle w:val="Hipervnculo"/>
                <w:rFonts w:ascii="MS Reference Sans Serif" w:hAnsi="MS Reference Sans Serif"/>
                <w:b/>
                <w:noProof/>
                <w:color w:val="1F497D" w:themeColor="text2"/>
                <w:lang w:val="es-ES_tradnl"/>
              </w:rPr>
              <w:t>Violaciones del derecho a la vida: Linchamientos</w:t>
            </w:r>
            <w:r w:rsidRPr="0009073B">
              <w:rPr>
                <w:rFonts w:ascii="MS Reference Sans Serif" w:hAnsi="MS Reference Sans Serif"/>
                <w:b/>
                <w:noProof/>
                <w:webHidden/>
                <w:color w:val="1F497D" w:themeColor="text2"/>
              </w:rPr>
              <w:tab/>
            </w:r>
            <w:r w:rsidRPr="0009073B">
              <w:rPr>
                <w:rFonts w:ascii="MS Reference Sans Serif" w:hAnsi="MS Reference Sans Serif"/>
                <w:b/>
                <w:noProof/>
                <w:webHidden/>
                <w:color w:val="1F497D" w:themeColor="text2"/>
              </w:rPr>
              <w:fldChar w:fldCharType="begin"/>
            </w:r>
            <w:r w:rsidRPr="0009073B">
              <w:rPr>
                <w:rFonts w:ascii="MS Reference Sans Serif" w:hAnsi="MS Reference Sans Serif"/>
                <w:b/>
                <w:noProof/>
                <w:webHidden/>
                <w:color w:val="1F497D" w:themeColor="text2"/>
              </w:rPr>
              <w:instrText xml:space="preserve"> PAGEREF _Toc369732049 \h </w:instrText>
            </w:r>
            <w:r w:rsidRPr="0009073B">
              <w:rPr>
                <w:rFonts w:ascii="MS Reference Sans Serif" w:hAnsi="MS Reference Sans Serif"/>
                <w:b/>
                <w:noProof/>
                <w:webHidden/>
                <w:color w:val="1F497D" w:themeColor="text2"/>
              </w:rPr>
            </w:r>
            <w:r w:rsidRPr="0009073B">
              <w:rPr>
                <w:rFonts w:ascii="MS Reference Sans Serif" w:hAnsi="MS Reference Sans Serif"/>
                <w:b/>
                <w:noProof/>
                <w:webHidden/>
                <w:color w:val="1F497D" w:themeColor="text2"/>
              </w:rPr>
              <w:fldChar w:fldCharType="separate"/>
            </w:r>
            <w:r w:rsidRPr="0009073B">
              <w:rPr>
                <w:rFonts w:ascii="MS Reference Sans Serif" w:hAnsi="MS Reference Sans Serif"/>
                <w:b/>
                <w:noProof/>
                <w:webHidden/>
                <w:color w:val="1F497D" w:themeColor="text2"/>
              </w:rPr>
              <w:t>5</w:t>
            </w:r>
            <w:r w:rsidRPr="0009073B">
              <w:rPr>
                <w:rFonts w:ascii="MS Reference Sans Serif" w:hAnsi="MS Reference Sans Serif"/>
                <w:b/>
                <w:noProof/>
                <w:webHidden/>
                <w:color w:val="1F497D" w:themeColor="text2"/>
              </w:rPr>
              <w:fldChar w:fldCharType="end"/>
            </w:r>
          </w:hyperlink>
        </w:p>
        <w:p w:rsidR="0009073B" w:rsidRPr="0009073B" w:rsidRDefault="0009073B">
          <w:pPr>
            <w:pStyle w:val="TDC1"/>
            <w:tabs>
              <w:tab w:val="left" w:pos="440"/>
              <w:tab w:val="right" w:leader="dot" w:pos="9352"/>
            </w:tabs>
            <w:rPr>
              <w:rFonts w:ascii="MS Reference Sans Serif" w:hAnsi="MS Reference Sans Serif"/>
              <w:b/>
              <w:noProof/>
              <w:color w:val="1F497D" w:themeColor="text2"/>
            </w:rPr>
          </w:pPr>
          <w:hyperlink w:anchor="_Toc369732050" w:history="1">
            <w:r w:rsidRPr="0009073B">
              <w:rPr>
                <w:rStyle w:val="Hipervnculo"/>
                <w:rFonts w:ascii="MS Reference Sans Serif" w:hAnsi="MS Reference Sans Serif"/>
                <w:b/>
                <w:noProof/>
                <w:color w:val="1F497D" w:themeColor="text2"/>
              </w:rPr>
              <w:t>2.</w:t>
            </w:r>
            <w:r w:rsidRPr="0009073B">
              <w:rPr>
                <w:rFonts w:ascii="MS Reference Sans Serif" w:hAnsi="MS Reference Sans Serif"/>
                <w:b/>
                <w:noProof/>
                <w:color w:val="1F497D" w:themeColor="text2"/>
              </w:rPr>
              <w:tab/>
            </w:r>
            <w:r w:rsidRPr="0009073B">
              <w:rPr>
                <w:rStyle w:val="Hipervnculo"/>
                <w:rFonts w:ascii="MS Reference Sans Serif" w:hAnsi="MS Reference Sans Serif"/>
                <w:b/>
                <w:noProof/>
                <w:color w:val="1F497D" w:themeColor="text2"/>
                <w:lang w:val="es-ES_tradnl"/>
              </w:rPr>
              <w:t>Bases teóricas para la deconstrucción conceptual</w:t>
            </w:r>
            <w:r w:rsidRPr="0009073B">
              <w:rPr>
                <w:rFonts w:ascii="MS Reference Sans Serif" w:hAnsi="MS Reference Sans Serif"/>
                <w:b/>
                <w:noProof/>
                <w:webHidden/>
                <w:color w:val="1F497D" w:themeColor="text2"/>
              </w:rPr>
              <w:tab/>
            </w:r>
            <w:r w:rsidRPr="0009073B">
              <w:rPr>
                <w:rFonts w:ascii="MS Reference Sans Serif" w:hAnsi="MS Reference Sans Serif"/>
                <w:b/>
                <w:noProof/>
                <w:webHidden/>
                <w:color w:val="1F497D" w:themeColor="text2"/>
              </w:rPr>
              <w:fldChar w:fldCharType="begin"/>
            </w:r>
            <w:r w:rsidRPr="0009073B">
              <w:rPr>
                <w:rFonts w:ascii="MS Reference Sans Serif" w:hAnsi="MS Reference Sans Serif"/>
                <w:b/>
                <w:noProof/>
                <w:webHidden/>
                <w:color w:val="1F497D" w:themeColor="text2"/>
              </w:rPr>
              <w:instrText xml:space="preserve"> PAGEREF _Toc369732050 \h </w:instrText>
            </w:r>
            <w:r w:rsidRPr="0009073B">
              <w:rPr>
                <w:rFonts w:ascii="MS Reference Sans Serif" w:hAnsi="MS Reference Sans Serif"/>
                <w:b/>
                <w:noProof/>
                <w:webHidden/>
                <w:color w:val="1F497D" w:themeColor="text2"/>
              </w:rPr>
            </w:r>
            <w:r w:rsidRPr="0009073B">
              <w:rPr>
                <w:rFonts w:ascii="MS Reference Sans Serif" w:hAnsi="MS Reference Sans Serif"/>
                <w:b/>
                <w:noProof/>
                <w:webHidden/>
                <w:color w:val="1F497D" w:themeColor="text2"/>
              </w:rPr>
              <w:fldChar w:fldCharType="separate"/>
            </w:r>
            <w:r w:rsidRPr="0009073B">
              <w:rPr>
                <w:rFonts w:ascii="MS Reference Sans Serif" w:hAnsi="MS Reference Sans Serif"/>
                <w:b/>
                <w:noProof/>
                <w:webHidden/>
                <w:color w:val="1F497D" w:themeColor="text2"/>
              </w:rPr>
              <w:t>8</w:t>
            </w:r>
            <w:r w:rsidRPr="0009073B">
              <w:rPr>
                <w:rFonts w:ascii="MS Reference Sans Serif" w:hAnsi="MS Reference Sans Serif"/>
                <w:b/>
                <w:noProof/>
                <w:webHidden/>
                <w:color w:val="1F497D" w:themeColor="text2"/>
              </w:rPr>
              <w:fldChar w:fldCharType="end"/>
            </w:r>
          </w:hyperlink>
        </w:p>
        <w:p w:rsidR="0009073B" w:rsidRPr="0009073B" w:rsidRDefault="0009073B">
          <w:pPr>
            <w:pStyle w:val="TDC1"/>
            <w:tabs>
              <w:tab w:val="left" w:pos="660"/>
              <w:tab w:val="right" w:leader="dot" w:pos="9352"/>
            </w:tabs>
            <w:rPr>
              <w:rFonts w:ascii="MS Reference Sans Serif" w:hAnsi="MS Reference Sans Serif"/>
              <w:b/>
              <w:noProof/>
              <w:color w:val="1F497D" w:themeColor="text2"/>
            </w:rPr>
          </w:pPr>
          <w:hyperlink w:anchor="_Toc369732051" w:history="1">
            <w:r w:rsidRPr="0009073B">
              <w:rPr>
                <w:rStyle w:val="Hipervnculo"/>
                <w:rFonts w:ascii="MS Reference Sans Serif" w:hAnsi="MS Reference Sans Serif"/>
                <w:b/>
                <w:noProof/>
                <w:color w:val="1F497D" w:themeColor="text2"/>
              </w:rPr>
              <w:t>2.1.</w:t>
            </w:r>
            <w:r w:rsidRPr="0009073B">
              <w:rPr>
                <w:rFonts w:ascii="MS Reference Sans Serif" w:hAnsi="MS Reference Sans Serif"/>
                <w:b/>
                <w:noProof/>
                <w:color w:val="1F497D" w:themeColor="text2"/>
              </w:rPr>
              <w:tab/>
            </w:r>
            <w:r w:rsidRPr="0009073B">
              <w:rPr>
                <w:rStyle w:val="Hipervnculo"/>
                <w:rFonts w:ascii="MS Reference Sans Serif" w:hAnsi="MS Reference Sans Serif"/>
                <w:b/>
                <w:noProof/>
                <w:color w:val="1F497D" w:themeColor="text2"/>
              </w:rPr>
              <w:t>Teoría Psicología Evolutiva</w:t>
            </w:r>
            <w:r w:rsidRPr="0009073B">
              <w:rPr>
                <w:rFonts w:ascii="MS Reference Sans Serif" w:hAnsi="MS Reference Sans Serif"/>
                <w:b/>
                <w:noProof/>
                <w:webHidden/>
                <w:color w:val="1F497D" w:themeColor="text2"/>
              </w:rPr>
              <w:tab/>
            </w:r>
            <w:r w:rsidRPr="0009073B">
              <w:rPr>
                <w:rFonts w:ascii="MS Reference Sans Serif" w:hAnsi="MS Reference Sans Serif"/>
                <w:b/>
                <w:noProof/>
                <w:webHidden/>
                <w:color w:val="1F497D" w:themeColor="text2"/>
              </w:rPr>
              <w:fldChar w:fldCharType="begin"/>
            </w:r>
            <w:r w:rsidRPr="0009073B">
              <w:rPr>
                <w:rFonts w:ascii="MS Reference Sans Serif" w:hAnsi="MS Reference Sans Serif"/>
                <w:b/>
                <w:noProof/>
                <w:webHidden/>
                <w:color w:val="1F497D" w:themeColor="text2"/>
              </w:rPr>
              <w:instrText xml:space="preserve"> PAGEREF _Toc369732051 \h </w:instrText>
            </w:r>
            <w:r w:rsidRPr="0009073B">
              <w:rPr>
                <w:rFonts w:ascii="MS Reference Sans Serif" w:hAnsi="MS Reference Sans Serif"/>
                <w:b/>
                <w:noProof/>
                <w:webHidden/>
                <w:color w:val="1F497D" w:themeColor="text2"/>
              </w:rPr>
            </w:r>
            <w:r w:rsidRPr="0009073B">
              <w:rPr>
                <w:rFonts w:ascii="MS Reference Sans Serif" w:hAnsi="MS Reference Sans Serif"/>
                <w:b/>
                <w:noProof/>
                <w:webHidden/>
                <w:color w:val="1F497D" w:themeColor="text2"/>
              </w:rPr>
              <w:fldChar w:fldCharType="separate"/>
            </w:r>
            <w:r w:rsidRPr="0009073B">
              <w:rPr>
                <w:rFonts w:ascii="MS Reference Sans Serif" w:hAnsi="MS Reference Sans Serif"/>
                <w:b/>
                <w:noProof/>
                <w:webHidden/>
                <w:color w:val="1F497D" w:themeColor="text2"/>
              </w:rPr>
              <w:t>9</w:t>
            </w:r>
            <w:r w:rsidRPr="0009073B">
              <w:rPr>
                <w:rFonts w:ascii="MS Reference Sans Serif" w:hAnsi="MS Reference Sans Serif"/>
                <w:b/>
                <w:noProof/>
                <w:webHidden/>
                <w:color w:val="1F497D" w:themeColor="text2"/>
              </w:rPr>
              <w:fldChar w:fldCharType="end"/>
            </w:r>
          </w:hyperlink>
        </w:p>
        <w:p w:rsidR="0009073B" w:rsidRPr="0009073B" w:rsidRDefault="0009073B">
          <w:pPr>
            <w:pStyle w:val="TDC1"/>
            <w:tabs>
              <w:tab w:val="left" w:pos="660"/>
              <w:tab w:val="right" w:leader="dot" w:pos="9352"/>
            </w:tabs>
            <w:rPr>
              <w:rFonts w:ascii="MS Reference Sans Serif" w:hAnsi="MS Reference Sans Serif"/>
              <w:b/>
              <w:noProof/>
              <w:color w:val="1F497D" w:themeColor="text2"/>
            </w:rPr>
          </w:pPr>
          <w:hyperlink w:anchor="_Toc369732052" w:history="1">
            <w:r w:rsidRPr="0009073B">
              <w:rPr>
                <w:rStyle w:val="Hipervnculo"/>
                <w:rFonts w:ascii="MS Reference Sans Serif" w:hAnsi="MS Reference Sans Serif"/>
                <w:b/>
                <w:noProof/>
                <w:color w:val="1F497D" w:themeColor="text2"/>
              </w:rPr>
              <w:t>2.2.</w:t>
            </w:r>
            <w:r w:rsidRPr="0009073B">
              <w:rPr>
                <w:rFonts w:ascii="MS Reference Sans Serif" w:hAnsi="MS Reference Sans Serif"/>
                <w:b/>
                <w:noProof/>
                <w:color w:val="1F497D" w:themeColor="text2"/>
              </w:rPr>
              <w:tab/>
            </w:r>
            <w:r w:rsidRPr="0009073B">
              <w:rPr>
                <w:rStyle w:val="Hipervnculo"/>
                <w:rFonts w:ascii="MS Reference Sans Serif" w:hAnsi="MS Reference Sans Serif"/>
                <w:b/>
                <w:noProof/>
                <w:color w:val="1F497D" w:themeColor="text2"/>
              </w:rPr>
              <w:t>Teoría de la acción colectiva</w:t>
            </w:r>
            <w:r w:rsidRPr="0009073B">
              <w:rPr>
                <w:rFonts w:ascii="MS Reference Sans Serif" w:hAnsi="MS Reference Sans Serif"/>
                <w:b/>
                <w:noProof/>
                <w:webHidden/>
                <w:color w:val="1F497D" w:themeColor="text2"/>
              </w:rPr>
              <w:tab/>
            </w:r>
            <w:r w:rsidRPr="0009073B">
              <w:rPr>
                <w:rFonts w:ascii="MS Reference Sans Serif" w:hAnsi="MS Reference Sans Serif"/>
                <w:b/>
                <w:noProof/>
                <w:webHidden/>
                <w:color w:val="1F497D" w:themeColor="text2"/>
              </w:rPr>
              <w:fldChar w:fldCharType="begin"/>
            </w:r>
            <w:r w:rsidRPr="0009073B">
              <w:rPr>
                <w:rFonts w:ascii="MS Reference Sans Serif" w:hAnsi="MS Reference Sans Serif"/>
                <w:b/>
                <w:noProof/>
                <w:webHidden/>
                <w:color w:val="1F497D" w:themeColor="text2"/>
              </w:rPr>
              <w:instrText xml:space="preserve"> PAGEREF _Toc369732052 \h </w:instrText>
            </w:r>
            <w:r w:rsidRPr="0009073B">
              <w:rPr>
                <w:rFonts w:ascii="MS Reference Sans Serif" w:hAnsi="MS Reference Sans Serif"/>
                <w:b/>
                <w:noProof/>
                <w:webHidden/>
                <w:color w:val="1F497D" w:themeColor="text2"/>
              </w:rPr>
            </w:r>
            <w:r w:rsidRPr="0009073B">
              <w:rPr>
                <w:rFonts w:ascii="MS Reference Sans Serif" w:hAnsi="MS Reference Sans Serif"/>
                <w:b/>
                <w:noProof/>
                <w:webHidden/>
                <w:color w:val="1F497D" w:themeColor="text2"/>
              </w:rPr>
              <w:fldChar w:fldCharType="separate"/>
            </w:r>
            <w:r w:rsidRPr="0009073B">
              <w:rPr>
                <w:rFonts w:ascii="MS Reference Sans Serif" w:hAnsi="MS Reference Sans Serif"/>
                <w:b/>
                <w:noProof/>
                <w:webHidden/>
                <w:color w:val="1F497D" w:themeColor="text2"/>
              </w:rPr>
              <w:t>10</w:t>
            </w:r>
            <w:r w:rsidRPr="0009073B">
              <w:rPr>
                <w:rFonts w:ascii="MS Reference Sans Serif" w:hAnsi="MS Reference Sans Serif"/>
                <w:b/>
                <w:noProof/>
                <w:webHidden/>
                <w:color w:val="1F497D" w:themeColor="text2"/>
              </w:rPr>
              <w:fldChar w:fldCharType="end"/>
            </w:r>
          </w:hyperlink>
        </w:p>
        <w:p w:rsidR="0009073B" w:rsidRPr="0009073B" w:rsidRDefault="0009073B">
          <w:pPr>
            <w:pStyle w:val="TDC1"/>
            <w:tabs>
              <w:tab w:val="left" w:pos="660"/>
              <w:tab w:val="right" w:leader="dot" w:pos="9352"/>
            </w:tabs>
            <w:rPr>
              <w:rFonts w:ascii="MS Reference Sans Serif" w:hAnsi="MS Reference Sans Serif"/>
              <w:b/>
              <w:noProof/>
              <w:color w:val="1F497D" w:themeColor="text2"/>
            </w:rPr>
          </w:pPr>
          <w:hyperlink w:anchor="_Toc369732053" w:history="1">
            <w:r w:rsidRPr="0009073B">
              <w:rPr>
                <w:rStyle w:val="Hipervnculo"/>
                <w:rFonts w:ascii="MS Reference Sans Serif" w:hAnsi="MS Reference Sans Serif"/>
                <w:b/>
                <w:noProof/>
                <w:color w:val="1F497D" w:themeColor="text2"/>
              </w:rPr>
              <w:t>2.3.</w:t>
            </w:r>
            <w:r w:rsidRPr="0009073B">
              <w:rPr>
                <w:rFonts w:ascii="MS Reference Sans Serif" w:hAnsi="MS Reference Sans Serif"/>
                <w:b/>
                <w:noProof/>
                <w:color w:val="1F497D" w:themeColor="text2"/>
              </w:rPr>
              <w:tab/>
            </w:r>
            <w:r w:rsidRPr="0009073B">
              <w:rPr>
                <w:rStyle w:val="Hipervnculo"/>
                <w:rFonts w:ascii="MS Reference Sans Serif" w:hAnsi="MS Reference Sans Serif"/>
                <w:b/>
                <w:noProof/>
                <w:color w:val="1F497D" w:themeColor="text2"/>
              </w:rPr>
              <w:t>Teoría de las instituciones</w:t>
            </w:r>
            <w:r w:rsidRPr="0009073B">
              <w:rPr>
                <w:rFonts w:ascii="MS Reference Sans Serif" w:hAnsi="MS Reference Sans Serif"/>
                <w:b/>
                <w:noProof/>
                <w:webHidden/>
                <w:color w:val="1F497D" w:themeColor="text2"/>
              </w:rPr>
              <w:tab/>
            </w:r>
            <w:r w:rsidRPr="0009073B">
              <w:rPr>
                <w:rFonts w:ascii="MS Reference Sans Serif" w:hAnsi="MS Reference Sans Serif"/>
                <w:b/>
                <w:noProof/>
                <w:webHidden/>
                <w:color w:val="1F497D" w:themeColor="text2"/>
              </w:rPr>
              <w:fldChar w:fldCharType="begin"/>
            </w:r>
            <w:r w:rsidRPr="0009073B">
              <w:rPr>
                <w:rFonts w:ascii="MS Reference Sans Serif" w:hAnsi="MS Reference Sans Serif"/>
                <w:b/>
                <w:noProof/>
                <w:webHidden/>
                <w:color w:val="1F497D" w:themeColor="text2"/>
              </w:rPr>
              <w:instrText xml:space="preserve"> PAGEREF _Toc369732053 \h </w:instrText>
            </w:r>
            <w:r w:rsidRPr="0009073B">
              <w:rPr>
                <w:rFonts w:ascii="MS Reference Sans Serif" w:hAnsi="MS Reference Sans Serif"/>
                <w:b/>
                <w:noProof/>
                <w:webHidden/>
                <w:color w:val="1F497D" w:themeColor="text2"/>
              </w:rPr>
            </w:r>
            <w:r w:rsidRPr="0009073B">
              <w:rPr>
                <w:rFonts w:ascii="MS Reference Sans Serif" w:hAnsi="MS Reference Sans Serif"/>
                <w:b/>
                <w:noProof/>
                <w:webHidden/>
                <w:color w:val="1F497D" w:themeColor="text2"/>
              </w:rPr>
              <w:fldChar w:fldCharType="separate"/>
            </w:r>
            <w:r w:rsidRPr="0009073B">
              <w:rPr>
                <w:rFonts w:ascii="MS Reference Sans Serif" w:hAnsi="MS Reference Sans Serif"/>
                <w:b/>
                <w:noProof/>
                <w:webHidden/>
                <w:color w:val="1F497D" w:themeColor="text2"/>
              </w:rPr>
              <w:t>10</w:t>
            </w:r>
            <w:r w:rsidRPr="0009073B">
              <w:rPr>
                <w:rFonts w:ascii="MS Reference Sans Serif" w:hAnsi="MS Reference Sans Serif"/>
                <w:b/>
                <w:noProof/>
                <w:webHidden/>
                <w:color w:val="1F497D" w:themeColor="text2"/>
              </w:rPr>
              <w:fldChar w:fldCharType="end"/>
            </w:r>
          </w:hyperlink>
        </w:p>
        <w:p w:rsidR="0009073B" w:rsidRPr="0009073B" w:rsidRDefault="0009073B">
          <w:pPr>
            <w:pStyle w:val="TDC1"/>
            <w:tabs>
              <w:tab w:val="left" w:pos="660"/>
              <w:tab w:val="right" w:leader="dot" w:pos="9352"/>
            </w:tabs>
            <w:rPr>
              <w:rFonts w:ascii="MS Reference Sans Serif" w:hAnsi="MS Reference Sans Serif"/>
              <w:b/>
              <w:noProof/>
              <w:color w:val="1F497D" w:themeColor="text2"/>
            </w:rPr>
          </w:pPr>
          <w:hyperlink w:anchor="_Toc369732054" w:history="1">
            <w:r w:rsidRPr="0009073B">
              <w:rPr>
                <w:rStyle w:val="Hipervnculo"/>
                <w:rFonts w:ascii="MS Reference Sans Serif" w:hAnsi="MS Reference Sans Serif"/>
                <w:b/>
                <w:noProof/>
                <w:color w:val="1F497D" w:themeColor="text2"/>
              </w:rPr>
              <w:t>2.4.</w:t>
            </w:r>
            <w:r w:rsidRPr="0009073B">
              <w:rPr>
                <w:rFonts w:ascii="MS Reference Sans Serif" w:hAnsi="MS Reference Sans Serif"/>
                <w:b/>
                <w:noProof/>
                <w:color w:val="1F497D" w:themeColor="text2"/>
              </w:rPr>
              <w:tab/>
            </w:r>
            <w:r w:rsidRPr="0009073B">
              <w:rPr>
                <w:rStyle w:val="Hipervnculo"/>
                <w:rFonts w:ascii="MS Reference Sans Serif" w:hAnsi="MS Reference Sans Serif"/>
                <w:b/>
                <w:noProof/>
                <w:color w:val="1F497D" w:themeColor="text2"/>
              </w:rPr>
              <w:t>Teoría de Intercambio (colectivo)</w:t>
            </w:r>
            <w:r w:rsidRPr="0009073B">
              <w:rPr>
                <w:rFonts w:ascii="MS Reference Sans Serif" w:hAnsi="MS Reference Sans Serif"/>
                <w:b/>
                <w:noProof/>
                <w:webHidden/>
                <w:color w:val="1F497D" w:themeColor="text2"/>
              </w:rPr>
              <w:tab/>
            </w:r>
            <w:r w:rsidRPr="0009073B">
              <w:rPr>
                <w:rFonts w:ascii="MS Reference Sans Serif" w:hAnsi="MS Reference Sans Serif"/>
                <w:b/>
                <w:noProof/>
                <w:webHidden/>
                <w:color w:val="1F497D" w:themeColor="text2"/>
              </w:rPr>
              <w:fldChar w:fldCharType="begin"/>
            </w:r>
            <w:r w:rsidRPr="0009073B">
              <w:rPr>
                <w:rFonts w:ascii="MS Reference Sans Serif" w:hAnsi="MS Reference Sans Serif"/>
                <w:b/>
                <w:noProof/>
                <w:webHidden/>
                <w:color w:val="1F497D" w:themeColor="text2"/>
              </w:rPr>
              <w:instrText xml:space="preserve"> PAGEREF _Toc369732054 \h </w:instrText>
            </w:r>
            <w:r w:rsidRPr="0009073B">
              <w:rPr>
                <w:rFonts w:ascii="MS Reference Sans Serif" w:hAnsi="MS Reference Sans Serif"/>
                <w:b/>
                <w:noProof/>
                <w:webHidden/>
                <w:color w:val="1F497D" w:themeColor="text2"/>
              </w:rPr>
            </w:r>
            <w:r w:rsidRPr="0009073B">
              <w:rPr>
                <w:rFonts w:ascii="MS Reference Sans Serif" w:hAnsi="MS Reference Sans Serif"/>
                <w:b/>
                <w:noProof/>
                <w:webHidden/>
                <w:color w:val="1F497D" w:themeColor="text2"/>
              </w:rPr>
              <w:fldChar w:fldCharType="separate"/>
            </w:r>
            <w:r w:rsidRPr="0009073B">
              <w:rPr>
                <w:rFonts w:ascii="MS Reference Sans Serif" w:hAnsi="MS Reference Sans Serif"/>
                <w:b/>
                <w:noProof/>
                <w:webHidden/>
                <w:color w:val="1F497D" w:themeColor="text2"/>
              </w:rPr>
              <w:t>11</w:t>
            </w:r>
            <w:r w:rsidRPr="0009073B">
              <w:rPr>
                <w:rFonts w:ascii="MS Reference Sans Serif" w:hAnsi="MS Reference Sans Serif"/>
                <w:b/>
                <w:noProof/>
                <w:webHidden/>
                <w:color w:val="1F497D" w:themeColor="text2"/>
              </w:rPr>
              <w:fldChar w:fldCharType="end"/>
            </w:r>
          </w:hyperlink>
        </w:p>
        <w:p w:rsidR="0009073B" w:rsidRPr="0009073B" w:rsidRDefault="0009073B">
          <w:pPr>
            <w:pStyle w:val="TDC1"/>
            <w:tabs>
              <w:tab w:val="left" w:pos="440"/>
              <w:tab w:val="right" w:leader="dot" w:pos="9352"/>
            </w:tabs>
            <w:rPr>
              <w:rFonts w:ascii="MS Reference Sans Serif" w:hAnsi="MS Reference Sans Serif"/>
              <w:b/>
              <w:noProof/>
              <w:color w:val="1F497D" w:themeColor="text2"/>
            </w:rPr>
          </w:pPr>
          <w:hyperlink w:anchor="_Toc369732055" w:history="1">
            <w:r w:rsidRPr="0009073B">
              <w:rPr>
                <w:rStyle w:val="Hipervnculo"/>
                <w:rFonts w:ascii="MS Reference Sans Serif" w:hAnsi="MS Reference Sans Serif"/>
                <w:b/>
                <w:noProof/>
                <w:color w:val="1F497D" w:themeColor="text2"/>
              </w:rPr>
              <w:t>3.</w:t>
            </w:r>
            <w:r w:rsidRPr="0009073B">
              <w:rPr>
                <w:rFonts w:ascii="MS Reference Sans Serif" w:hAnsi="MS Reference Sans Serif"/>
                <w:b/>
                <w:noProof/>
                <w:color w:val="1F497D" w:themeColor="text2"/>
              </w:rPr>
              <w:tab/>
            </w:r>
            <w:r w:rsidRPr="0009073B">
              <w:rPr>
                <w:rStyle w:val="Hipervnculo"/>
                <w:rFonts w:ascii="MS Reference Sans Serif" w:hAnsi="MS Reference Sans Serif"/>
                <w:b/>
                <w:noProof/>
                <w:color w:val="1F497D" w:themeColor="text2"/>
              </w:rPr>
              <w:t>(Re) Construcción: La violencia colectiva o estructura social del conflicto</w:t>
            </w:r>
            <w:r w:rsidRPr="0009073B">
              <w:rPr>
                <w:rFonts w:ascii="MS Reference Sans Serif" w:hAnsi="MS Reference Sans Serif"/>
                <w:b/>
                <w:noProof/>
                <w:webHidden/>
                <w:color w:val="1F497D" w:themeColor="text2"/>
              </w:rPr>
              <w:tab/>
            </w:r>
            <w:r w:rsidRPr="0009073B">
              <w:rPr>
                <w:rFonts w:ascii="MS Reference Sans Serif" w:hAnsi="MS Reference Sans Serif"/>
                <w:b/>
                <w:noProof/>
                <w:webHidden/>
                <w:color w:val="1F497D" w:themeColor="text2"/>
              </w:rPr>
              <w:fldChar w:fldCharType="begin"/>
            </w:r>
            <w:r w:rsidRPr="0009073B">
              <w:rPr>
                <w:rFonts w:ascii="MS Reference Sans Serif" w:hAnsi="MS Reference Sans Serif"/>
                <w:b/>
                <w:noProof/>
                <w:webHidden/>
                <w:color w:val="1F497D" w:themeColor="text2"/>
              </w:rPr>
              <w:instrText xml:space="preserve"> PAGEREF _Toc369732055 \h </w:instrText>
            </w:r>
            <w:r w:rsidRPr="0009073B">
              <w:rPr>
                <w:rFonts w:ascii="MS Reference Sans Serif" w:hAnsi="MS Reference Sans Serif"/>
                <w:b/>
                <w:noProof/>
                <w:webHidden/>
                <w:color w:val="1F497D" w:themeColor="text2"/>
              </w:rPr>
            </w:r>
            <w:r w:rsidRPr="0009073B">
              <w:rPr>
                <w:rFonts w:ascii="MS Reference Sans Serif" w:hAnsi="MS Reference Sans Serif"/>
                <w:b/>
                <w:noProof/>
                <w:webHidden/>
                <w:color w:val="1F497D" w:themeColor="text2"/>
              </w:rPr>
              <w:fldChar w:fldCharType="separate"/>
            </w:r>
            <w:r w:rsidRPr="0009073B">
              <w:rPr>
                <w:rFonts w:ascii="MS Reference Sans Serif" w:hAnsi="MS Reference Sans Serif"/>
                <w:b/>
                <w:noProof/>
                <w:webHidden/>
                <w:color w:val="1F497D" w:themeColor="text2"/>
              </w:rPr>
              <w:t>12</w:t>
            </w:r>
            <w:r w:rsidRPr="0009073B">
              <w:rPr>
                <w:rFonts w:ascii="MS Reference Sans Serif" w:hAnsi="MS Reference Sans Serif"/>
                <w:b/>
                <w:noProof/>
                <w:webHidden/>
                <w:color w:val="1F497D" w:themeColor="text2"/>
              </w:rPr>
              <w:fldChar w:fldCharType="end"/>
            </w:r>
          </w:hyperlink>
        </w:p>
        <w:p w:rsidR="0009073B" w:rsidRPr="0009073B" w:rsidRDefault="0009073B">
          <w:pPr>
            <w:pStyle w:val="TDC1"/>
            <w:tabs>
              <w:tab w:val="left" w:pos="440"/>
              <w:tab w:val="right" w:leader="dot" w:pos="9352"/>
            </w:tabs>
            <w:rPr>
              <w:rFonts w:ascii="MS Reference Sans Serif" w:hAnsi="MS Reference Sans Serif"/>
              <w:b/>
              <w:noProof/>
              <w:color w:val="1F497D" w:themeColor="text2"/>
            </w:rPr>
          </w:pPr>
          <w:hyperlink w:anchor="_Toc369732056" w:history="1">
            <w:r w:rsidRPr="0009073B">
              <w:rPr>
                <w:rStyle w:val="Hipervnculo"/>
                <w:rFonts w:ascii="MS Reference Sans Serif" w:hAnsi="MS Reference Sans Serif"/>
                <w:b/>
                <w:noProof/>
                <w:color w:val="1F497D" w:themeColor="text2"/>
              </w:rPr>
              <w:t>4.</w:t>
            </w:r>
            <w:r w:rsidRPr="0009073B">
              <w:rPr>
                <w:rFonts w:ascii="MS Reference Sans Serif" w:hAnsi="MS Reference Sans Serif"/>
                <w:b/>
                <w:noProof/>
                <w:color w:val="1F497D" w:themeColor="text2"/>
              </w:rPr>
              <w:tab/>
            </w:r>
            <w:r w:rsidRPr="0009073B">
              <w:rPr>
                <w:rStyle w:val="Hipervnculo"/>
                <w:rFonts w:ascii="MS Reference Sans Serif" w:hAnsi="MS Reference Sans Serif"/>
                <w:b/>
                <w:noProof/>
                <w:color w:val="1F497D" w:themeColor="text2"/>
                <w:lang w:val="es-ES_tradnl"/>
              </w:rPr>
              <w:t>Violencia colectiva</w:t>
            </w:r>
            <w:r w:rsidRPr="0009073B">
              <w:rPr>
                <w:rFonts w:ascii="MS Reference Sans Serif" w:hAnsi="MS Reference Sans Serif"/>
                <w:b/>
                <w:noProof/>
                <w:webHidden/>
                <w:color w:val="1F497D" w:themeColor="text2"/>
              </w:rPr>
              <w:tab/>
            </w:r>
            <w:r w:rsidRPr="0009073B">
              <w:rPr>
                <w:rFonts w:ascii="MS Reference Sans Serif" w:hAnsi="MS Reference Sans Serif"/>
                <w:b/>
                <w:noProof/>
                <w:webHidden/>
                <w:color w:val="1F497D" w:themeColor="text2"/>
              </w:rPr>
              <w:fldChar w:fldCharType="begin"/>
            </w:r>
            <w:r w:rsidRPr="0009073B">
              <w:rPr>
                <w:rFonts w:ascii="MS Reference Sans Serif" w:hAnsi="MS Reference Sans Serif"/>
                <w:b/>
                <w:noProof/>
                <w:webHidden/>
                <w:color w:val="1F497D" w:themeColor="text2"/>
              </w:rPr>
              <w:instrText xml:space="preserve"> PAGEREF _Toc369732056 \h </w:instrText>
            </w:r>
            <w:r w:rsidRPr="0009073B">
              <w:rPr>
                <w:rFonts w:ascii="MS Reference Sans Serif" w:hAnsi="MS Reference Sans Serif"/>
                <w:b/>
                <w:noProof/>
                <w:webHidden/>
                <w:color w:val="1F497D" w:themeColor="text2"/>
              </w:rPr>
            </w:r>
            <w:r w:rsidRPr="0009073B">
              <w:rPr>
                <w:rFonts w:ascii="MS Reference Sans Serif" w:hAnsi="MS Reference Sans Serif"/>
                <w:b/>
                <w:noProof/>
                <w:webHidden/>
                <w:color w:val="1F497D" w:themeColor="text2"/>
              </w:rPr>
              <w:fldChar w:fldCharType="separate"/>
            </w:r>
            <w:r w:rsidRPr="0009073B">
              <w:rPr>
                <w:rFonts w:ascii="MS Reference Sans Serif" w:hAnsi="MS Reference Sans Serif"/>
                <w:b/>
                <w:noProof/>
                <w:webHidden/>
                <w:color w:val="1F497D" w:themeColor="text2"/>
              </w:rPr>
              <w:t>14</w:t>
            </w:r>
            <w:r w:rsidRPr="0009073B">
              <w:rPr>
                <w:rFonts w:ascii="MS Reference Sans Serif" w:hAnsi="MS Reference Sans Serif"/>
                <w:b/>
                <w:noProof/>
                <w:webHidden/>
                <w:color w:val="1F497D" w:themeColor="text2"/>
              </w:rPr>
              <w:fldChar w:fldCharType="end"/>
            </w:r>
          </w:hyperlink>
        </w:p>
        <w:p w:rsidR="0009073B" w:rsidRPr="0009073B" w:rsidRDefault="0009073B">
          <w:pPr>
            <w:pStyle w:val="TDC1"/>
            <w:tabs>
              <w:tab w:val="left" w:pos="440"/>
              <w:tab w:val="right" w:leader="dot" w:pos="9352"/>
            </w:tabs>
            <w:rPr>
              <w:rFonts w:ascii="MS Reference Sans Serif" w:hAnsi="MS Reference Sans Serif"/>
              <w:b/>
              <w:noProof/>
              <w:color w:val="1F497D" w:themeColor="text2"/>
            </w:rPr>
          </w:pPr>
          <w:hyperlink w:anchor="_Toc369732058" w:history="1">
            <w:r w:rsidRPr="0009073B">
              <w:rPr>
                <w:rStyle w:val="Hipervnculo"/>
                <w:rFonts w:ascii="MS Reference Sans Serif" w:hAnsi="MS Reference Sans Serif"/>
                <w:b/>
                <w:noProof/>
                <w:color w:val="1F497D" w:themeColor="text2"/>
              </w:rPr>
              <w:t>5.</w:t>
            </w:r>
            <w:r w:rsidRPr="0009073B">
              <w:rPr>
                <w:rFonts w:ascii="MS Reference Sans Serif" w:hAnsi="MS Reference Sans Serif"/>
                <w:b/>
                <w:noProof/>
                <w:color w:val="1F497D" w:themeColor="text2"/>
              </w:rPr>
              <w:tab/>
            </w:r>
            <w:r w:rsidRPr="0009073B">
              <w:rPr>
                <w:rStyle w:val="Hipervnculo"/>
                <w:rFonts w:ascii="MS Reference Sans Serif" w:hAnsi="MS Reference Sans Serif"/>
                <w:b/>
                <w:noProof/>
                <w:color w:val="1F497D" w:themeColor="text2"/>
                <w:lang w:val="es-ES_tradnl"/>
              </w:rPr>
              <w:t>Ejes estratégicos</w:t>
            </w:r>
            <w:r w:rsidRPr="0009073B">
              <w:rPr>
                <w:rFonts w:ascii="MS Reference Sans Serif" w:hAnsi="MS Reference Sans Serif"/>
                <w:b/>
                <w:noProof/>
                <w:webHidden/>
                <w:color w:val="1F497D" w:themeColor="text2"/>
              </w:rPr>
              <w:tab/>
            </w:r>
            <w:r w:rsidRPr="0009073B">
              <w:rPr>
                <w:rFonts w:ascii="MS Reference Sans Serif" w:hAnsi="MS Reference Sans Serif"/>
                <w:b/>
                <w:noProof/>
                <w:webHidden/>
                <w:color w:val="1F497D" w:themeColor="text2"/>
              </w:rPr>
              <w:fldChar w:fldCharType="begin"/>
            </w:r>
            <w:r w:rsidRPr="0009073B">
              <w:rPr>
                <w:rFonts w:ascii="MS Reference Sans Serif" w:hAnsi="MS Reference Sans Serif"/>
                <w:b/>
                <w:noProof/>
                <w:webHidden/>
                <w:color w:val="1F497D" w:themeColor="text2"/>
              </w:rPr>
              <w:instrText xml:space="preserve"> PAGEREF _Toc369732058 \h </w:instrText>
            </w:r>
            <w:r w:rsidRPr="0009073B">
              <w:rPr>
                <w:rFonts w:ascii="MS Reference Sans Serif" w:hAnsi="MS Reference Sans Serif"/>
                <w:b/>
                <w:noProof/>
                <w:webHidden/>
                <w:color w:val="1F497D" w:themeColor="text2"/>
              </w:rPr>
            </w:r>
            <w:r w:rsidRPr="0009073B">
              <w:rPr>
                <w:rFonts w:ascii="MS Reference Sans Serif" w:hAnsi="MS Reference Sans Serif"/>
                <w:b/>
                <w:noProof/>
                <w:webHidden/>
                <w:color w:val="1F497D" w:themeColor="text2"/>
              </w:rPr>
              <w:fldChar w:fldCharType="separate"/>
            </w:r>
            <w:r w:rsidRPr="0009073B">
              <w:rPr>
                <w:rFonts w:ascii="MS Reference Sans Serif" w:hAnsi="MS Reference Sans Serif"/>
                <w:b/>
                <w:noProof/>
                <w:webHidden/>
                <w:color w:val="1F497D" w:themeColor="text2"/>
              </w:rPr>
              <w:t>18</w:t>
            </w:r>
            <w:r w:rsidRPr="0009073B">
              <w:rPr>
                <w:rFonts w:ascii="MS Reference Sans Serif" w:hAnsi="MS Reference Sans Serif"/>
                <w:b/>
                <w:noProof/>
                <w:webHidden/>
                <w:color w:val="1F497D" w:themeColor="text2"/>
              </w:rPr>
              <w:fldChar w:fldCharType="end"/>
            </w:r>
          </w:hyperlink>
        </w:p>
        <w:p w:rsidR="0009073B" w:rsidRPr="0009073B" w:rsidRDefault="0009073B">
          <w:pPr>
            <w:pStyle w:val="TDC1"/>
            <w:tabs>
              <w:tab w:val="left" w:pos="440"/>
              <w:tab w:val="right" w:leader="dot" w:pos="9352"/>
            </w:tabs>
            <w:rPr>
              <w:rFonts w:ascii="MS Reference Sans Serif" w:hAnsi="MS Reference Sans Serif"/>
              <w:b/>
              <w:noProof/>
              <w:color w:val="1F497D" w:themeColor="text2"/>
            </w:rPr>
          </w:pPr>
          <w:hyperlink w:anchor="_Toc369732059" w:history="1">
            <w:r w:rsidRPr="0009073B">
              <w:rPr>
                <w:rStyle w:val="Hipervnculo"/>
                <w:rFonts w:ascii="MS Reference Sans Serif" w:hAnsi="MS Reference Sans Serif"/>
                <w:b/>
                <w:noProof/>
                <w:color w:val="1F497D" w:themeColor="text2"/>
              </w:rPr>
              <w:t>6.</w:t>
            </w:r>
            <w:r w:rsidRPr="0009073B">
              <w:rPr>
                <w:rFonts w:ascii="MS Reference Sans Serif" w:hAnsi="MS Reference Sans Serif"/>
                <w:b/>
                <w:noProof/>
                <w:color w:val="1F497D" w:themeColor="text2"/>
              </w:rPr>
              <w:tab/>
            </w:r>
            <w:r w:rsidRPr="0009073B">
              <w:rPr>
                <w:rStyle w:val="Hipervnculo"/>
                <w:rFonts w:ascii="MS Reference Sans Serif" w:hAnsi="MS Reference Sans Serif"/>
                <w:b/>
                <w:noProof/>
                <w:color w:val="1F497D" w:themeColor="text2"/>
              </w:rPr>
              <w:t>Objetivos</w:t>
            </w:r>
            <w:r w:rsidRPr="0009073B">
              <w:rPr>
                <w:rFonts w:ascii="MS Reference Sans Serif" w:hAnsi="MS Reference Sans Serif"/>
                <w:b/>
                <w:noProof/>
                <w:webHidden/>
                <w:color w:val="1F497D" w:themeColor="text2"/>
              </w:rPr>
              <w:tab/>
            </w:r>
            <w:r w:rsidRPr="0009073B">
              <w:rPr>
                <w:rFonts w:ascii="MS Reference Sans Serif" w:hAnsi="MS Reference Sans Serif"/>
                <w:b/>
                <w:noProof/>
                <w:webHidden/>
                <w:color w:val="1F497D" w:themeColor="text2"/>
              </w:rPr>
              <w:fldChar w:fldCharType="begin"/>
            </w:r>
            <w:r w:rsidRPr="0009073B">
              <w:rPr>
                <w:rFonts w:ascii="MS Reference Sans Serif" w:hAnsi="MS Reference Sans Serif"/>
                <w:b/>
                <w:noProof/>
                <w:webHidden/>
                <w:color w:val="1F497D" w:themeColor="text2"/>
              </w:rPr>
              <w:instrText xml:space="preserve"> PAGEREF _Toc369732059 \h </w:instrText>
            </w:r>
            <w:r w:rsidRPr="0009073B">
              <w:rPr>
                <w:rFonts w:ascii="MS Reference Sans Serif" w:hAnsi="MS Reference Sans Serif"/>
                <w:b/>
                <w:noProof/>
                <w:webHidden/>
                <w:color w:val="1F497D" w:themeColor="text2"/>
              </w:rPr>
            </w:r>
            <w:r w:rsidRPr="0009073B">
              <w:rPr>
                <w:rFonts w:ascii="MS Reference Sans Serif" w:hAnsi="MS Reference Sans Serif"/>
                <w:b/>
                <w:noProof/>
                <w:webHidden/>
                <w:color w:val="1F497D" w:themeColor="text2"/>
              </w:rPr>
              <w:fldChar w:fldCharType="separate"/>
            </w:r>
            <w:r w:rsidRPr="0009073B">
              <w:rPr>
                <w:rFonts w:ascii="MS Reference Sans Serif" w:hAnsi="MS Reference Sans Serif"/>
                <w:b/>
                <w:noProof/>
                <w:webHidden/>
                <w:color w:val="1F497D" w:themeColor="text2"/>
              </w:rPr>
              <w:t>19</w:t>
            </w:r>
            <w:r w:rsidRPr="0009073B">
              <w:rPr>
                <w:rFonts w:ascii="MS Reference Sans Serif" w:hAnsi="MS Reference Sans Serif"/>
                <w:b/>
                <w:noProof/>
                <w:webHidden/>
                <w:color w:val="1F497D" w:themeColor="text2"/>
              </w:rPr>
              <w:fldChar w:fldCharType="end"/>
            </w:r>
          </w:hyperlink>
        </w:p>
        <w:p w:rsidR="0009073B" w:rsidRPr="0009073B" w:rsidRDefault="0009073B">
          <w:pPr>
            <w:pStyle w:val="TDC1"/>
            <w:tabs>
              <w:tab w:val="left" w:pos="440"/>
              <w:tab w:val="right" w:leader="dot" w:pos="9352"/>
            </w:tabs>
            <w:rPr>
              <w:rFonts w:ascii="MS Reference Sans Serif" w:hAnsi="MS Reference Sans Serif"/>
              <w:b/>
              <w:noProof/>
              <w:color w:val="1F497D" w:themeColor="text2"/>
            </w:rPr>
          </w:pPr>
          <w:hyperlink w:anchor="_Toc369732060" w:history="1">
            <w:r w:rsidRPr="0009073B">
              <w:rPr>
                <w:rStyle w:val="Hipervnculo"/>
                <w:rFonts w:ascii="MS Reference Sans Serif" w:hAnsi="MS Reference Sans Serif"/>
                <w:b/>
                <w:noProof/>
                <w:color w:val="1F497D" w:themeColor="text2"/>
              </w:rPr>
              <w:t>7.</w:t>
            </w:r>
            <w:r w:rsidRPr="0009073B">
              <w:rPr>
                <w:rFonts w:ascii="MS Reference Sans Serif" w:hAnsi="MS Reference Sans Serif"/>
                <w:b/>
                <w:noProof/>
                <w:color w:val="1F497D" w:themeColor="text2"/>
              </w:rPr>
              <w:tab/>
            </w:r>
            <w:r w:rsidRPr="0009073B">
              <w:rPr>
                <w:rStyle w:val="Hipervnculo"/>
                <w:rFonts w:ascii="MS Reference Sans Serif" w:hAnsi="MS Reference Sans Serif"/>
                <w:b/>
                <w:noProof/>
                <w:color w:val="1F497D" w:themeColor="text2"/>
              </w:rPr>
              <w:t>Actividades</w:t>
            </w:r>
            <w:r w:rsidRPr="0009073B">
              <w:rPr>
                <w:rFonts w:ascii="MS Reference Sans Serif" w:hAnsi="MS Reference Sans Serif"/>
                <w:b/>
                <w:noProof/>
                <w:webHidden/>
                <w:color w:val="1F497D" w:themeColor="text2"/>
              </w:rPr>
              <w:tab/>
            </w:r>
            <w:r w:rsidRPr="0009073B">
              <w:rPr>
                <w:rFonts w:ascii="MS Reference Sans Serif" w:hAnsi="MS Reference Sans Serif"/>
                <w:b/>
                <w:noProof/>
                <w:webHidden/>
                <w:color w:val="1F497D" w:themeColor="text2"/>
              </w:rPr>
              <w:fldChar w:fldCharType="begin"/>
            </w:r>
            <w:r w:rsidRPr="0009073B">
              <w:rPr>
                <w:rFonts w:ascii="MS Reference Sans Serif" w:hAnsi="MS Reference Sans Serif"/>
                <w:b/>
                <w:noProof/>
                <w:webHidden/>
                <w:color w:val="1F497D" w:themeColor="text2"/>
              </w:rPr>
              <w:instrText xml:space="preserve"> PAGEREF _Toc369732060 \h </w:instrText>
            </w:r>
            <w:r w:rsidRPr="0009073B">
              <w:rPr>
                <w:rFonts w:ascii="MS Reference Sans Serif" w:hAnsi="MS Reference Sans Serif"/>
                <w:b/>
                <w:noProof/>
                <w:webHidden/>
                <w:color w:val="1F497D" w:themeColor="text2"/>
              </w:rPr>
            </w:r>
            <w:r w:rsidRPr="0009073B">
              <w:rPr>
                <w:rFonts w:ascii="MS Reference Sans Serif" w:hAnsi="MS Reference Sans Serif"/>
                <w:b/>
                <w:noProof/>
                <w:webHidden/>
                <w:color w:val="1F497D" w:themeColor="text2"/>
              </w:rPr>
              <w:fldChar w:fldCharType="separate"/>
            </w:r>
            <w:r w:rsidRPr="0009073B">
              <w:rPr>
                <w:rFonts w:ascii="MS Reference Sans Serif" w:hAnsi="MS Reference Sans Serif"/>
                <w:b/>
                <w:noProof/>
                <w:webHidden/>
                <w:color w:val="1F497D" w:themeColor="text2"/>
              </w:rPr>
              <w:t>19</w:t>
            </w:r>
            <w:r w:rsidRPr="0009073B">
              <w:rPr>
                <w:rFonts w:ascii="MS Reference Sans Serif" w:hAnsi="MS Reference Sans Serif"/>
                <w:b/>
                <w:noProof/>
                <w:webHidden/>
                <w:color w:val="1F497D" w:themeColor="text2"/>
              </w:rPr>
              <w:fldChar w:fldCharType="end"/>
            </w:r>
          </w:hyperlink>
        </w:p>
        <w:p w:rsidR="0009073B" w:rsidRPr="0009073B" w:rsidRDefault="0009073B">
          <w:pPr>
            <w:pStyle w:val="TDC1"/>
            <w:tabs>
              <w:tab w:val="left" w:pos="440"/>
              <w:tab w:val="right" w:leader="dot" w:pos="9352"/>
            </w:tabs>
            <w:rPr>
              <w:rFonts w:ascii="MS Reference Sans Serif" w:hAnsi="MS Reference Sans Serif"/>
              <w:b/>
              <w:noProof/>
              <w:color w:val="1F497D" w:themeColor="text2"/>
            </w:rPr>
          </w:pPr>
          <w:hyperlink w:anchor="_Toc369732061" w:history="1">
            <w:r w:rsidRPr="0009073B">
              <w:rPr>
                <w:rStyle w:val="Hipervnculo"/>
                <w:rFonts w:ascii="MS Reference Sans Serif" w:hAnsi="MS Reference Sans Serif"/>
                <w:b/>
                <w:noProof/>
                <w:color w:val="1F497D" w:themeColor="text2"/>
              </w:rPr>
              <w:t>8.</w:t>
            </w:r>
            <w:r w:rsidRPr="0009073B">
              <w:rPr>
                <w:rFonts w:ascii="MS Reference Sans Serif" w:hAnsi="MS Reference Sans Serif"/>
                <w:b/>
                <w:noProof/>
                <w:color w:val="1F497D" w:themeColor="text2"/>
              </w:rPr>
              <w:tab/>
            </w:r>
            <w:r w:rsidRPr="0009073B">
              <w:rPr>
                <w:rStyle w:val="Hipervnculo"/>
                <w:rFonts w:ascii="MS Reference Sans Serif" w:hAnsi="MS Reference Sans Serif"/>
                <w:b/>
                <w:noProof/>
                <w:color w:val="1F497D" w:themeColor="text2"/>
              </w:rPr>
              <w:t>Indicadores de alerta temprana</w:t>
            </w:r>
            <w:r w:rsidRPr="0009073B">
              <w:rPr>
                <w:rFonts w:ascii="MS Reference Sans Serif" w:hAnsi="MS Reference Sans Serif"/>
                <w:b/>
                <w:noProof/>
                <w:webHidden/>
                <w:color w:val="1F497D" w:themeColor="text2"/>
              </w:rPr>
              <w:tab/>
            </w:r>
            <w:r w:rsidRPr="0009073B">
              <w:rPr>
                <w:rFonts w:ascii="MS Reference Sans Serif" w:hAnsi="MS Reference Sans Serif"/>
                <w:b/>
                <w:noProof/>
                <w:webHidden/>
                <w:color w:val="1F497D" w:themeColor="text2"/>
              </w:rPr>
              <w:fldChar w:fldCharType="begin"/>
            </w:r>
            <w:r w:rsidRPr="0009073B">
              <w:rPr>
                <w:rFonts w:ascii="MS Reference Sans Serif" w:hAnsi="MS Reference Sans Serif"/>
                <w:b/>
                <w:noProof/>
                <w:webHidden/>
                <w:color w:val="1F497D" w:themeColor="text2"/>
              </w:rPr>
              <w:instrText xml:space="preserve"> PAGEREF _Toc369732061 \h </w:instrText>
            </w:r>
            <w:r w:rsidRPr="0009073B">
              <w:rPr>
                <w:rFonts w:ascii="MS Reference Sans Serif" w:hAnsi="MS Reference Sans Serif"/>
                <w:b/>
                <w:noProof/>
                <w:webHidden/>
                <w:color w:val="1F497D" w:themeColor="text2"/>
              </w:rPr>
            </w:r>
            <w:r w:rsidRPr="0009073B">
              <w:rPr>
                <w:rFonts w:ascii="MS Reference Sans Serif" w:hAnsi="MS Reference Sans Serif"/>
                <w:b/>
                <w:noProof/>
                <w:webHidden/>
                <w:color w:val="1F497D" w:themeColor="text2"/>
              </w:rPr>
              <w:fldChar w:fldCharType="separate"/>
            </w:r>
            <w:r w:rsidRPr="0009073B">
              <w:rPr>
                <w:rFonts w:ascii="MS Reference Sans Serif" w:hAnsi="MS Reference Sans Serif"/>
                <w:b/>
                <w:noProof/>
                <w:webHidden/>
                <w:color w:val="1F497D" w:themeColor="text2"/>
              </w:rPr>
              <w:t>21</w:t>
            </w:r>
            <w:r w:rsidRPr="0009073B">
              <w:rPr>
                <w:rFonts w:ascii="MS Reference Sans Serif" w:hAnsi="MS Reference Sans Serif"/>
                <w:b/>
                <w:noProof/>
                <w:webHidden/>
                <w:color w:val="1F497D" w:themeColor="text2"/>
              </w:rPr>
              <w:fldChar w:fldCharType="end"/>
            </w:r>
          </w:hyperlink>
        </w:p>
        <w:p w:rsidR="0009073B" w:rsidRPr="0009073B" w:rsidRDefault="0009073B">
          <w:pPr>
            <w:pStyle w:val="TDC1"/>
            <w:tabs>
              <w:tab w:val="right" w:leader="dot" w:pos="9352"/>
            </w:tabs>
            <w:rPr>
              <w:rFonts w:ascii="MS Reference Sans Serif" w:hAnsi="MS Reference Sans Serif"/>
              <w:b/>
              <w:noProof/>
              <w:color w:val="1F497D" w:themeColor="text2"/>
            </w:rPr>
          </w:pPr>
          <w:hyperlink w:anchor="_Toc369732062" w:history="1">
            <w:r w:rsidRPr="0009073B">
              <w:rPr>
                <w:rStyle w:val="Hipervnculo"/>
                <w:rFonts w:ascii="MS Reference Sans Serif" w:hAnsi="MS Reference Sans Serif"/>
                <w:b/>
                <w:noProof/>
                <w:color w:val="1F497D" w:themeColor="text2"/>
              </w:rPr>
              <w:t>Bibliogr</w:t>
            </w:r>
            <w:r w:rsidRPr="0009073B">
              <w:rPr>
                <w:rStyle w:val="Hipervnculo"/>
                <w:rFonts w:ascii="MS Reference Sans Serif" w:hAnsi="MS Reference Sans Serif"/>
                <w:b/>
                <w:noProof/>
                <w:color w:val="1F497D" w:themeColor="text2"/>
              </w:rPr>
              <w:t>a</w:t>
            </w:r>
            <w:r w:rsidRPr="0009073B">
              <w:rPr>
                <w:rStyle w:val="Hipervnculo"/>
                <w:rFonts w:ascii="MS Reference Sans Serif" w:hAnsi="MS Reference Sans Serif"/>
                <w:b/>
                <w:noProof/>
                <w:color w:val="1F497D" w:themeColor="text2"/>
              </w:rPr>
              <w:t>fía</w:t>
            </w:r>
            <w:r w:rsidRPr="0009073B">
              <w:rPr>
                <w:rFonts w:ascii="MS Reference Sans Serif" w:hAnsi="MS Reference Sans Serif"/>
                <w:b/>
                <w:noProof/>
                <w:webHidden/>
                <w:color w:val="1F497D" w:themeColor="text2"/>
              </w:rPr>
              <w:tab/>
            </w:r>
            <w:r w:rsidRPr="0009073B">
              <w:rPr>
                <w:rFonts w:ascii="MS Reference Sans Serif" w:hAnsi="MS Reference Sans Serif"/>
                <w:b/>
                <w:noProof/>
                <w:webHidden/>
                <w:color w:val="1F497D" w:themeColor="text2"/>
              </w:rPr>
              <w:fldChar w:fldCharType="begin"/>
            </w:r>
            <w:r w:rsidRPr="0009073B">
              <w:rPr>
                <w:rFonts w:ascii="MS Reference Sans Serif" w:hAnsi="MS Reference Sans Serif"/>
                <w:b/>
                <w:noProof/>
                <w:webHidden/>
                <w:color w:val="1F497D" w:themeColor="text2"/>
              </w:rPr>
              <w:instrText xml:space="preserve"> PAGEREF _Toc369732062 \h </w:instrText>
            </w:r>
            <w:r w:rsidRPr="0009073B">
              <w:rPr>
                <w:rFonts w:ascii="MS Reference Sans Serif" w:hAnsi="MS Reference Sans Serif"/>
                <w:b/>
                <w:noProof/>
                <w:webHidden/>
                <w:color w:val="1F497D" w:themeColor="text2"/>
              </w:rPr>
            </w:r>
            <w:r w:rsidRPr="0009073B">
              <w:rPr>
                <w:rFonts w:ascii="MS Reference Sans Serif" w:hAnsi="MS Reference Sans Serif"/>
                <w:b/>
                <w:noProof/>
                <w:webHidden/>
                <w:color w:val="1F497D" w:themeColor="text2"/>
              </w:rPr>
              <w:fldChar w:fldCharType="separate"/>
            </w:r>
            <w:r w:rsidRPr="0009073B">
              <w:rPr>
                <w:rFonts w:ascii="MS Reference Sans Serif" w:hAnsi="MS Reference Sans Serif"/>
                <w:b/>
                <w:noProof/>
                <w:webHidden/>
                <w:color w:val="1F497D" w:themeColor="text2"/>
              </w:rPr>
              <w:t>22</w:t>
            </w:r>
            <w:r w:rsidRPr="0009073B">
              <w:rPr>
                <w:rFonts w:ascii="MS Reference Sans Serif" w:hAnsi="MS Reference Sans Serif"/>
                <w:b/>
                <w:noProof/>
                <w:webHidden/>
                <w:color w:val="1F497D" w:themeColor="text2"/>
              </w:rPr>
              <w:fldChar w:fldCharType="end"/>
            </w:r>
          </w:hyperlink>
        </w:p>
        <w:p w:rsidR="0009073B" w:rsidRDefault="0009073B">
          <w:r w:rsidRPr="0009073B">
            <w:rPr>
              <w:rFonts w:ascii="MS Reference Sans Serif" w:hAnsi="MS Reference Sans Serif"/>
              <w:b/>
              <w:color w:val="1F497D" w:themeColor="text2"/>
            </w:rPr>
            <w:fldChar w:fldCharType="end"/>
          </w:r>
        </w:p>
      </w:sdtContent>
    </w:sdt>
    <w:p w:rsidR="0009073B" w:rsidRPr="000C7C9A" w:rsidRDefault="0009073B">
      <w:pPr>
        <w:rPr>
          <w:color w:val="7F7F7F" w:themeColor="text1" w:themeTint="80"/>
          <w:lang w:val="es-ES_tradnl"/>
        </w:rPr>
      </w:pPr>
      <w:r>
        <w:rPr>
          <w:color w:val="7F7F7F" w:themeColor="text1" w:themeTint="80"/>
          <w:lang w:val="es-ES_tradnl"/>
        </w:rPr>
        <w:br w:type="page"/>
      </w:r>
    </w:p>
    <w:p w:rsidR="003022A6" w:rsidRPr="003022A6" w:rsidRDefault="00031F7B" w:rsidP="001D26AD">
      <w:pPr>
        <w:pStyle w:val="Ttulo1"/>
        <w:numPr>
          <w:ilvl w:val="0"/>
          <w:numId w:val="4"/>
        </w:numPr>
        <w:spacing w:line="360" w:lineRule="auto"/>
        <w:rPr>
          <w:color w:val="7F7F7F" w:themeColor="text1" w:themeTint="80"/>
          <w:lang w:val="es-ES_tradnl"/>
        </w:rPr>
      </w:pPr>
      <w:bookmarkStart w:id="0" w:name="_Toc369732048"/>
      <w:r>
        <w:rPr>
          <w:color w:val="7F7F7F" w:themeColor="text1" w:themeTint="80"/>
          <w:lang w:val="es-ES_tradnl"/>
        </w:rPr>
        <w:lastRenderedPageBreak/>
        <w:t>Antecedentes</w:t>
      </w:r>
      <w:bookmarkEnd w:id="0"/>
    </w:p>
    <w:p w:rsidR="00C6179B" w:rsidRDefault="00C6179B" w:rsidP="001D26AD">
      <w:pPr>
        <w:spacing w:line="360" w:lineRule="auto"/>
        <w:jc w:val="both"/>
        <w:rPr>
          <w:rFonts w:ascii="MS Reference Sans Serif" w:hAnsi="MS Reference Sans Serif"/>
          <w:sz w:val="24"/>
          <w:szCs w:val="24"/>
          <w:lang w:val="es-ES_tradnl"/>
        </w:rPr>
      </w:pPr>
      <w:r>
        <w:rPr>
          <w:rFonts w:ascii="MS Reference Sans Serif" w:hAnsi="MS Reference Sans Serif"/>
          <w:sz w:val="24"/>
          <w:szCs w:val="24"/>
          <w:lang w:val="es-ES_tradnl"/>
        </w:rPr>
        <w:t>El actual gobierno ha definido</w:t>
      </w:r>
      <w:r w:rsidR="00DC4B0E">
        <w:rPr>
          <w:rFonts w:ascii="MS Reference Sans Serif" w:hAnsi="MS Reference Sans Serif"/>
          <w:sz w:val="24"/>
          <w:szCs w:val="24"/>
          <w:lang w:val="es-ES_tradnl"/>
        </w:rPr>
        <w:t>,</w:t>
      </w:r>
      <w:r>
        <w:rPr>
          <w:rFonts w:ascii="MS Reference Sans Serif" w:hAnsi="MS Reference Sans Serif"/>
          <w:sz w:val="24"/>
          <w:szCs w:val="24"/>
          <w:lang w:val="es-ES_tradnl"/>
        </w:rPr>
        <w:t xml:space="preserve"> en sus orientaciones estratégicas del 2012 al 2016</w:t>
      </w:r>
      <w:r w:rsidR="00DC4B0E">
        <w:rPr>
          <w:rFonts w:ascii="MS Reference Sans Serif" w:hAnsi="MS Reference Sans Serif"/>
          <w:sz w:val="24"/>
          <w:szCs w:val="24"/>
          <w:lang w:val="es-ES_tradnl"/>
        </w:rPr>
        <w:t>, el eje de Seguridad Democrática y Justicia que cuenta con</w:t>
      </w:r>
      <w:r>
        <w:rPr>
          <w:rFonts w:ascii="MS Reference Sans Serif" w:hAnsi="MS Reference Sans Serif"/>
          <w:sz w:val="24"/>
          <w:szCs w:val="24"/>
          <w:lang w:val="es-ES_tradnl"/>
        </w:rPr>
        <w:t xml:space="preserve"> 5 propósitos –proteger la vida y la propiedad; neutralizar el Crimen Organizado, maras y delincuencia común; Fortalecimiento Institucional; Asumir el liderazgo regional de la estrategia en la lucha contra el crimen organizado; Fortalecer el Sistema de Justicia-.</w:t>
      </w:r>
    </w:p>
    <w:p w:rsidR="00D14F5C" w:rsidRDefault="00D14F5C" w:rsidP="001D26AD">
      <w:pPr>
        <w:spacing w:line="360" w:lineRule="auto"/>
        <w:jc w:val="both"/>
        <w:rPr>
          <w:rFonts w:ascii="MS Reference Sans Serif" w:hAnsi="MS Reference Sans Serif"/>
          <w:sz w:val="24"/>
          <w:szCs w:val="24"/>
          <w:lang w:val="es-ES_tradnl"/>
        </w:rPr>
      </w:pPr>
    </w:p>
    <w:p w:rsidR="00E973B7" w:rsidRDefault="005D7E1D" w:rsidP="001D26AD">
      <w:pPr>
        <w:spacing w:line="360" w:lineRule="auto"/>
        <w:jc w:val="both"/>
        <w:rPr>
          <w:rFonts w:ascii="MS Reference Sans Serif" w:hAnsi="MS Reference Sans Serif"/>
          <w:sz w:val="24"/>
          <w:szCs w:val="24"/>
          <w:lang w:val="es-ES_tradnl"/>
        </w:rPr>
      </w:pPr>
      <w:r>
        <w:rPr>
          <w:rFonts w:ascii="MS Reference Sans Serif" w:hAnsi="MS Reference Sans Serif"/>
          <w:sz w:val="24"/>
          <w:szCs w:val="24"/>
          <w:lang w:val="es-ES_tradnl"/>
        </w:rPr>
        <w:t>En</w:t>
      </w:r>
      <w:r w:rsidR="00E973B7">
        <w:rPr>
          <w:rFonts w:ascii="MS Reference Sans Serif" w:hAnsi="MS Reference Sans Serif"/>
          <w:sz w:val="24"/>
          <w:szCs w:val="24"/>
          <w:lang w:val="es-ES_tradnl"/>
        </w:rPr>
        <w:t xml:space="preserve"> el 2012</w:t>
      </w:r>
      <w:r>
        <w:rPr>
          <w:rFonts w:ascii="MS Reference Sans Serif" w:hAnsi="MS Reference Sans Serif"/>
          <w:sz w:val="24"/>
          <w:szCs w:val="24"/>
          <w:lang w:val="es-ES_tradnl"/>
        </w:rPr>
        <w:t xml:space="preserve"> también</w:t>
      </w:r>
      <w:r w:rsidR="00E973B7">
        <w:rPr>
          <w:rFonts w:ascii="MS Reference Sans Serif" w:hAnsi="MS Reference Sans Serif"/>
          <w:sz w:val="24"/>
          <w:szCs w:val="24"/>
          <w:lang w:val="es-ES_tradnl"/>
        </w:rPr>
        <w:t xml:space="preserve"> se planteó</w:t>
      </w:r>
      <w:r w:rsidR="00E973B7" w:rsidRPr="00031F7B">
        <w:rPr>
          <w:rFonts w:ascii="MS Reference Sans Serif" w:hAnsi="MS Reference Sans Serif"/>
          <w:sz w:val="24"/>
          <w:szCs w:val="24"/>
          <w:lang w:val="es-ES_tradnl"/>
        </w:rPr>
        <w:t xml:space="preserve"> el Pacto por la Paz, la Seguridad y la Justicia</w:t>
      </w:r>
      <w:r w:rsidR="00E973B7">
        <w:rPr>
          <w:rFonts w:ascii="MS Reference Sans Serif" w:hAnsi="MS Reference Sans Serif"/>
          <w:sz w:val="24"/>
          <w:szCs w:val="24"/>
          <w:lang w:val="es-ES_tradnl"/>
        </w:rPr>
        <w:t xml:space="preserve">, con 5 ejes transversales –gobernabilidad </w:t>
      </w:r>
      <w:r>
        <w:rPr>
          <w:rFonts w:ascii="MS Reference Sans Serif" w:hAnsi="MS Reference Sans Serif"/>
          <w:sz w:val="24"/>
          <w:szCs w:val="24"/>
          <w:lang w:val="es-ES_tradnl"/>
        </w:rPr>
        <w:t>democrática, inclusión social, corresponsabilidad social, equidad de género y pertinencia cultural- el</w:t>
      </w:r>
      <w:r w:rsidR="00E973B7">
        <w:rPr>
          <w:rFonts w:ascii="MS Reference Sans Serif" w:hAnsi="MS Reference Sans Serif"/>
          <w:sz w:val="24"/>
          <w:szCs w:val="24"/>
          <w:lang w:val="es-ES_tradnl"/>
        </w:rPr>
        <w:t xml:space="preserve"> documento de </w:t>
      </w:r>
      <w:r w:rsidR="00E973B7" w:rsidRPr="00031F7B">
        <w:rPr>
          <w:rFonts w:ascii="MS Reference Sans Serif" w:hAnsi="MS Reference Sans Serif"/>
          <w:sz w:val="24"/>
          <w:szCs w:val="24"/>
          <w:lang w:val="es-ES_tradnl"/>
        </w:rPr>
        <w:t>po</w:t>
      </w:r>
      <w:r w:rsidR="00E973B7">
        <w:rPr>
          <w:rFonts w:ascii="MS Reference Sans Serif" w:hAnsi="MS Reference Sans Serif"/>
          <w:sz w:val="24"/>
          <w:szCs w:val="24"/>
          <w:lang w:val="es-ES_tradnl"/>
        </w:rPr>
        <w:t>lítica pública</w:t>
      </w:r>
      <w:r>
        <w:rPr>
          <w:rFonts w:ascii="MS Reference Sans Serif" w:hAnsi="MS Reference Sans Serif"/>
          <w:sz w:val="24"/>
          <w:szCs w:val="24"/>
          <w:lang w:val="es-ES_tradnl"/>
        </w:rPr>
        <w:t xml:space="preserve"> que</w:t>
      </w:r>
      <w:r w:rsidR="00E973B7">
        <w:rPr>
          <w:rFonts w:ascii="MS Reference Sans Serif" w:hAnsi="MS Reference Sans Serif"/>
          <w:sz w:val="24"/>
          <w:szCs w:val="24"/>
          <w:lang w:val="es-ES_tradnl"/>
        </w:rPr>
        <w:t xml:space="preserve"> rige a</w:t>
      </w:r>
      <w:r w:rsidR="00E973B7" w:rsidRPr="00031F7B">
        <w:rPr>
          <w:rFonts w:ascii="MS Reference Sans Serif" w:hAnsi="MS Reference Sans Serif"/>
          <w:sz w:val="24"/>
          <w:szCs w:val="24"/>
          <w:lang w:val="es-ES_tradnl"/>
        </w:rPr>
        <w:t xml:space="preserve"> la nueva administración. </w:t>
      </w:r>
    </w:p>
    <w:p w:rsidR="00D14F5C" w:rsidRDefault="00D14F5C" w:rsidP="001D26AD">
      <w:pPr>
        <w:spacing w:line="360" w:lineRule="auto"/>
        <w:jc w:val="both"/>
        <w:rPr>
          <w:rFonts w:ascii="MS Reference Sans Serif" w:hAnsi="MS Reference Sans Serif"/>
          <w:sz w:val="24"/>
          <w:szCs w:val="24"/>
          <w:lang w:val="es-ES_tradnl"/>
        </w:rPr>
      </w:pPr>
    </w:p>
    <w:p w:rsidR="003C7E48" w:rsidRDefault="00F71117" w:rsidP="001D26AD">
      <w:pPr>
        <w:spacing w:line="360" w:lineRule="auto"/>
        <w:jc w:val="both"/>
        <w:rPr>
          <w:rFonts w:ascii="MS Reference Sans Serif" w:hAnsi="MS Reference Sans Serif"/>
          <w:sz w:val="24"/>
          <w:szCs w:val="24"/>
          <w:lang w:val="es-ES_tradnl"/>
        </w:rPr>
      </w:pPr>
      <w:r>
        <w:rPr>
          <w:rFonts w:ascii="MS Reference Sans Serif" w:hAnsi="MS Reference Sans Serif"/>
          <w:sz w:val="24"/>
          <w:szCs w:val="24"/>
          <w:lang w:val="es-ES_tradnl"/>
        </w:rPr>
        <w:t>Algunos de los</w:t>
      </w:r>
      <w:r w:rsidR="00056809">
        <w:rPr>
          <w:rFonts w:ascii="MS Reference Sans Serif" w:hAnsi="MS Reference Sans Serif"/>
          <w:sz w:val="24"/>
          <w:szCs w:val="24"/>
          <w:lang w:val="es-ES_tradnl"/>
        </w:rPr>
        <w:t xml:space="preserve"> organismos responsables d</w:t>
      </w:r>
      <w:r>
        <w:rPr>
          <w:rFonts w:ascii="MS Reference Sans Serif" w:hAnsi="MS Reference Sans Serif"/>
          <w:sz w:val="24"/>
          <w:szCs w:val="24"/>
          <w:lang w:val="es-ES_tradnl"/>
        </w:rPr>
        <w:t>e cumplir con los 5 propósitos del</w:t>
      </w:r>
      <w:r w:rsidR="00A04DFD">
        <w:rPr>
          <w:rFonts w:ascii="MS Reference Sans Serif" w:hAnsi="MS Reference Sans Serif"/>
          <w:sz w:val="24"/>
          <w:szCs w:val="24"/>
          <w:lang w:val="es-ES_tradnl"/>
        </w:rPr>
        <w:t xml:space="preserve"> eje de Seguridad Democrática y Justici</w:t>
      </w:r>
      <w:r w:rsidR="00056809">
        <w:rPr>
          <w:rFonts w:ascii="MS Reference Sans Serif" w:hAnsi="MS Reference Sans Serif"/>
          <w:sz w:val="24"/>
          <w:szCs w:val="24"/>
          <w:lang w:val="es-ES_tradnl"/>
        </w:rPr>
        <w:t xml:space="preserve">a </w:t>
      </w:r>
      <w:r>
        <w:rPr>
          <w:rFonts w:ascii="MS Reference Sans Serif" w:hAnsi="MS Reference Sans Serif"/>
          <w:sz w:val="24"/>
          <w:szCs w:val="24"/>
          <w:lang w:val="es-ES_tradnl"/>
        </w:rPr>
        <w:t>son</w:t>
      </w:r>
      <w:r w:rsidR="00A04DFD">
        <w:rPr>
          <w:rFonts w:ascii="MS Reference Sans Serif" w:hAnsi="MS Reference Sans Serif"/>
          <w:sz w:val="24"/>
          <w:szCs w:val="24"/>
          <w:lang w:val="es-ES_tradnl"/>
        </w:rPr>
        <w:t xml:space="preserve"> el Ministerio de Gobernación –MINGOB-</w:t>
      </w:r>
      <w:r w:rsidR="00056809">
        <w:rPr>
          <w:rFonts w:ascii="MS Reference Sans Serif" w:hAnsi="MS Reference Sans Serif"/>
          <w:sz w:val="24"/>
          <w:szCs w:val="24"/>
          <w:lang w:val="es-ES_tradnl"/>
        </w:rPr>
        <w:t>,</w:t>
      </w:r>
      <w:r w:rsidR="00056809" w:rsidRPr="00056809">
        <w:rPr>
          <w:rFonts w:ascii="MS Reference Sans Serif" w:hAnsi="MS Reference Sans Serif"/>
          <w:sz w:val="24"/>
          <w:szCs w:val="24"/>
          <w:lang w:val="es-ES_tradnl"/>
        </w:rPr>
        <w:t xml:space="preserve"> el responsable de la seguridad ciudadana, la administración del Sistema Penitenciario</w:t>
      </w:r>
      <w:r w:rsidR="00056809">
        <w:rPr>
          <w:rFonts w:ascii="MS Reference Sans Serif" w:hAnsi="MS Reference Sans Serif"/>
          <w:sz w:val="24"/>
          <w:szCs w:val="24"/>
          <w:lang w:val="es-ES_tradnl"/>
        </w:rPr>
        <w:t xml:space="preserve"> y de la Policía Nacional Civil –PNC-; El Ministerio Público –MP-</w:t>
      </w:r>
      <w:r w:rsidR="00056809" w:rsidRPr="00056809">
        <w:rPr>
          <w:rFonts w:ascii="MS Reference Sans Serif" w:hAnsi="MS Reference Sans Serif"/>
          <w:sz w:val="24"/>
          <w:szCs w:val="24"/>
          <w:lang w:val="es-ES_tradnl"/>
        </w:rPr>
        <w:t xml:space="preserve">, dirigido por el Fiscal General de la Nación, ejercita la acción penal con exclusividad </w:t>
      </w:r>
      <w:r w:rsidR="00056809">
        <w:rPr>
          <w:rFonts w:ascii="MS Reference Sans Serif" w:hAnsi="MS Reference Sans Serif"/>
          <w:sz w:val="24"/>
          <w:szCs w:val="24"/>
          <w:lang w:val="es-ES_tradnl"/>
        </w:rPr>
        <w:t>y dirige la investigación penal; y e</w:t>
      </w:r>
      <w:r w:rsidR="00056809" w:rsidRPr="00056809">
        <w:rPr>
          <w:rFonts w:ascii="MS Reference Sans Serif" w:hAnsi="MS Reference Sans Serif"/>
          <w:sz w:val="24"/>
          <w:szCs w:val="24"/>
          <w:lang w:val="es-ES_tradnl"/>
        </w:rPr>
        <w:t xml:space="preserve">l Instituto Nacional </w:t>
      </w:r>
      <w:r w:rsidR="00056809" w:rsidRPr="006F4C36">
        <w:rPr>
          <w:rFonts w:ascii="MS Reference Sans Serif" w:hAnsi="MS Reference Sans Serif"/>
          <w:sz w:val="24"/>
          <w:szCs w:val="24"/>
          <w:lang w:val="es-ES_tradnl"/>
        </w:rPr>
        <w:t>de Ciencias Forenses de Guatemala -INACIF- como medio de prueba válidos y fehacientes en los procesos judiciales.</w:t>
      </w:r>
    </w:p>
    <w:p w:rsidR="00D14F5C" w:rsidRDefault="00D14F5C" w:rsidP="001D26AD">
      <w:pPr>
        <w:spacing w:line="360" w:lineRule="auto"/>
        <w:jc w:val="both"/>
        <w:rPr>
          <w:rFonts w:ascii="MS Reference Sans Serif" w:hAnsi="MS Reference Sans Serif"/>
          <w:sz w:val="24"/>
          <w:szCs w:val="24"/>
          <w:lang w:val="es-ES_tradnl"/>
        </w:rPr>
      </w:pPr>
    </w:p>
    <w:p w:rsidR="003120DF" w:rsidRDefault="00E44C98" w:rsidP="001D26AD">
      <w:pPr>
        <w:spacing w:line="360" w:lineRule="auto"/>
        <w:jc w:val="both"/>
        <w:rPr>
          <w:rFonts w:ascii="MS Reference Sans Serif" w:hAnsi="MS Reference Sans Serif"/>
          <w:sz w:val="24"/>
          <w:szCs w:val="24"/>
          <w:lang w:val="es-ES_tradnl"/>
        </w:rPr>
      </w:pPr>
      <w:r>
        <w:rPr>
          <w:rFonts w:ascii="MS Reference Sans Serif" w:hAnsi="MS Reference Sans Serif"/>
          <w:sz w:val="24"/>
          <w:szCs w:val="24"/>
          <w:lang w:val="es-ES_tradnl"/>
        </w:rPr>
        <w:t>Para</w:t>
      </w:r>
      <w:r w:rsidR="005D7E1D">
        <w:rPr>
          <w:rFonts w:ascii="MS Reference Sans Serif" w:hAnsi="MS Reference Sans Serif"/>
          <w:sz w:val="24"/>
          <w:szCs w:val="24"/>
          <w:lang w:val="es-ES_tradnl"/>
        </w:rPr>
        <w:t xml:space="preserve"> el primero año de</w:t>
      </w:r>
      <w:r>
        <w:rPr>
          <w:rFonts w:ascii="MS Reference Sans Serif" w:hAnsi="MS Reference Sans Serif"/>
          <w:sz w:val="24"/>
          <w:szCs w:val="24"/>
          <w:lang w:val="es-ES_tradnl"/>
        </w:rPr>
        <w:t>l</w:t>
      </w:r>
      <w:r w:rsidR="005D7E1D">
        <w:rPr>
          <w:rFonts w:ascii="MS Reference Sans Serif" w:hAnsi="MS Reference Sans Serif"/>
          <w:sz w:val="24"/>
          <w:szCs w:val="24"/>
          <w:lang w:val="es-ES_tradnl"/>
        </w:rPr>
        <w:t xml:space="preserve"> gobierno</w:t>
      </w:r>
      <w:r>
        <w:rPr>
          <w:rFonts w:ascii="MS Reference Sans Serif" w:hAnsi="MS Reference Sans Serif"/>
          <w:sz w:val="24"/>
          <w:szCs w:val="24"/>
          <w:lang w:val="es-ES_tradnl"/>
        </w:rPr>
        <w:t xml:space="preserve"> actual</w:t>
      </w:r>
      <w:r w:rsidR="005D7E1D">
        <w:rPr>
          <w:rFonts w:ascii="MS Reference Sans Serif" w:hAnsi="MS Reference Sans Serif"/>
          <w:sz w:val="24"/>
          <w:szCs w:val="24"/>
          <w:lang w:val="es-ES_tradnl"/>
        </w:rPr>
        <w:t>, l</w:t>
      </w:r>
      <w:r w:rsidR="00D158FD" w:rsidRPr="00D158FD">
        <w:rPr>
          <w:rFonts w:ascii="MS Reference Sans Serif" w:hAnsi="MS Reference Sans Serif"/>
          <w:sz w:val="24"/>
          <w:szCs w:val="24"/>
          <w:lang w:val="es-ES_tradnl"/>
        </w:rPr>
        <w:t xml:space="preserve">as autoridades </w:t>
      </w:r>
      <w:r w:rsidR="00D158FD">
        <w:rPr>
          <w:rFonts w:ascii="MS Reference Sans Serif" w:hAnsi="MS Reference Sans Serif"/>
          <w:sz w:val="24"/>
          <w:szCs w:val="24"/>
          <w:lang w:val="es-ES_tradnl"/>
        </w:rPr>
        <w:t>responsables</w:t>
      </w:r>
      <w:r w:rsidR="00580651">
        <w:rPr>
          <w:rFonts w:ascii="MS Reference Sans Serif" w:hAnsi="MS Reference Sans Serif"/>
          <w:sz w:val="24"/>
          <w:szCs w:val="24"/>
          <w:lang w:val="es-ES_tradnl"/>
        </w:rPr>
        <w:t xml:space="preserve"> de cumplir con el eje de Seguridad Democrática y Justicia reportaron</w:t>
      </w:r>
      <w:r w:rsidR="00D158FD">
        <w:rPr>
          <w:rFonts w:ascii="MS Reference Sans Serif" w:hAnsi="MS Reference Sans Serif"/>
          <w:sz w:val="24"/>
          <w:szCs w:val="24"/>
          <w:lang w:val="es-ES_tradnl"/>
        </w:rPr>
        <w:t xml:space="preserve"> avances en la seguridad de Guatemala. Por ejemplo, e</w:t>
      </w:r>
      <w:r w:rsidR="00246D57">
        <w:rPr>
          <w:rFonts w:ascii="MS Reference Sans Serif" w:hAnsi="MS Reference Sans Serif"/>
          <w:sz w:val="24"/>
          <w:szCs w:val="24"/>
          <w:lang w:val="es-ES_tradnl"/>
        </w:rPr>
        <w:t>n el</w:t>
      </w:r>
      <w:r w:rsidR="007D5D9F">
        <w:rPr>
          <w:rFonts w:ascii="MS Reference Sans Serif" w:hAnsi="MS Reference Sans Serif"/>
          <w:sz w:val="24"/>
          <w:szCs w:val="24"/>
          <w:lang w:val="es-ES_tradnl"/>
        </w:rPr>
        <w:t xml:space="preserve"> </w:t>
      </w:r>
      <w:r w:rsidR="00246D57">
        <w:rPr>
          <w:rFonts w:ascii="MS Reference Sans Serif" w:hAnsi="MS Reference Sans Serif"/>
          <w:sz w:val="24"/>
          <w:szCs w:val="24"/>
          <w:lang w:val="es-ES_tradnl"/>
        </w:rPr>
        <w:t xml:space="preserve">2009 el número de </w:t>
      </w:r>
      <w:r w:rsidR="003120DF">
        <w:rPr>
          <w:rFonts w:ascii="MS Reference Sans Serif" w:hAnsi="MS Reference Sans Serif"/>
          <w:sz w:val="24"/>
          <w:szCs w:val="24"/>
          <w:lang w:val="es-ES_tradnl"/>
        </w:rPr>
        <w:t xml:space="preserve">homicidios </w:t>
      </w:r>
      <w:r w:rsidR="00246D57">
        <w:rPr>
          <w:rFonts w:ascii="MS Reference Sans Serif" w:hAnsi="MS Reference Sans Serif"/>
          <w:sz w:val="24"/>
          <w:szCs w:val="24"/>
          <w:lang w:val="es-ES_tradnl"/>
        </w:rPr>
        <w:t>por cada 100,000 habitantes era de 46,3</w:t>
      </w:r>
      <w:r w:rsidR="003120DF">
        <w:rPr>
          <w:rFonts w:ascii="MS Reference Sans Serif" w:hAnsi="MS Reference Sans Serif"/>
          <w:sz w:val="24"/>
          <w:szCs w:val="24"/>
          <w:lang w:val="es-ES_tradnl"/>
        </w:rPr>
        <w:t xml:space="preserve"> y para el 2012 se </w:t>
      </w:r>
      <w:r w:rsidR="009E5D5D">
        <w:rPr>
          <w:rFonts w:ascii="MS Reference Sans Serif" w:hAnsi="MS Reference Sans Serif"/>
          <w:sz w:val="24"/>
          <w:szCs w:val="24"/>
          <w:lang w:val="es-ES_tradnl"/>
        </w:rPr>
        <w:t>reportó una reducción del 9%, del número de muertes violentas</w:t>
      </w:r>
      <w:r w:rsidR="003120DF">
        <w:rPr>
          <w:rFonts w:ascii="MS Reference Sans Serif" w:hAnsi="MS Reference Sans Serif"/>
          <w:sz w:val="24"/>
          <w:szCs w:val="24"/>
          <w:lang w:val="es-ES_tradnl"/>
        </w:rPr>
        <w:t xml:space="preserve"> y de la</w:t>
      </w:r>
      <w:r w:rsidR="009E5D5D">
        <w:rPr>
          <w:rFonts w:ascii="MS Reference Sans Serif" w:hAnsi="MS Reference Sans Serif"/>
          <w:sz w:val="24"/>
          <w:szCs w:val="24"/>
          <w:lang w:val="es-ES_tradnl"/>
        </w:rPr>
        <w:t xml:space="preserve"> tasa de violencia homicida por 100,000 habitantes a 34.2.</w:t>
      </w:r>
      <w:r w:rsidR="00246D57">
        <w:rPr>
          <w:rFonts w:ascii="MS Reference Sans Serif" w:hAnsi="MS Reference Sans Serif"/>
          <w:sz w:val="24"/>
          <w:szCs w:val="24"/>
          <w:lang w:val="es-ES_tradnl"/>
        </w:rPr>
        <w:t xml:space="preserve"> (</w:t>
      </w:r>
      <w:r w:rsidR="00246D57" w:rsidRPr="00C672A2">
        <w:rPr>
          <w:rFonts w:ascii="MS Reference Sans Serif" w:hAnsi="MS Reference Sans Serif"/>
          <w:b/>
          <w:color w:val="7F7F7F" w:themeColor="text1" w:themeTint="80"/>
          <w:lang w:val="es-ES_tradnl"/>
        </w:rPr>
        <w:t>Ver tabla 1</w:t>
      </w:r>
      <w:r w:rsidR="00246D57">
        <w:rPr>
          <w:rFonts w:ascii="MS Reference Sans Serif" w:hAnsi="MS Reference Sans Serif"/>
          <w:sz w:val="24"/>
          <w:szCs w:val="24"/>
          <w:lang w:val="es-ES_tradnl"/>
        </w:rPr>
        <w:t>)</w:t>
      </w:r>
      <w:r w:rsidR="009E5D5D">
        <w:rPr>
          <w:rFonts w:ascii="MS Reference Sans Serif" w:hAnsi="MS Reference Sans Serif"/>
          <w:sz w:val="24"/>
          <w:szCs w:val="24"/>
          <w:lang w:val="es-ES_tradnl"/>
        </w:rPr>
        <w:t xml:space="preserve">  </w:t>
      </w:r>
      <w:r w:rsidR="00F40BB2">
        <w:rPr>
          <w:rFonts w:ascii="MS Reference Sans Serif" w:hAnsi="MS Reference Sans Serif"/>
          <w:sz w:val="24"/>
          <w:szCs w:val="24"/>
          <w:lang w:val="es-ES_tradnl"/>
        </w:rPr>
        <w:t xml:space="preserve"> </w:t>
      </w:r>
    </w:p>
    <w:p w:rsidR="003120DF" w:rsidRDefault="003120DF" w:rsidP="001D26AD">
      <w:pPr>
        <w:spacing w:line="360" w:lineRule="auto"/>
        <w:jc w:val="both"/>
        <w:rPr>
          <w:rFonts w:ascii="MS Reference Sans Serif" w:hAnsi="MS Reference Sans Serif"/>
          <w:sz w:val="24"/>
          <w:szCs w:val="24"/>
          <w:lang w:val="es-ES_tradnl"/>
        </w:rPr>
      </w:pPr>
    </w:p>
    <w:p w:rsidR="003120DF" w:rsidRPr="003120DF" w:rsidRDefault="003120DF" w:rsidP="001D26AD">
      <w:pPr>
        <w:spacing w:line="360" w:lineRule="auto"/>
        <w:jc w:val="center"/>
        <w:rPr>
          <w:rFonts w:ascii="MS Reference Sans Serif" w:hAnsi="MS Reference Sans Serif"/>
          <w:b/>
          <w:color w:val="7F7F7F" w:themeColor="text1" w:themeTint="80"/>
          <w:sz w:val="24"/>
          <w:szCs w:val="24"/>
          <w:lang w:val="es-ES_tradnl"/>
        </w:rPr>
      </w:pPr>
      <w:r w:rsidRPr="003120DF">
        <w:rPr>
          <w:rFonts w:ascii="MS Reference Sans Serif" w:hAnsi="MS Reference Sans Serif"/>
          <w:b/>
          <w:color w:val="7F7F7F" w:themeColor="text1" w:themeTint="80"/>
          <w:sz w:val="24"/>
          <w:szCs w:val="24"/>
          <w:lang w:val="es-ES_tradnl"/>
        </w:rPr>
        <w:lastRenderedPageBreak/>
        <w:t xml:space="preserve">Tabla 1: </w:t>
      </w:r>
      <w:r>
        <w:rPr>
          <w:rFonts w:ascii="MS Reference Sans Serif" w:hAnsi="MS Reference Sans Serif"/>
          <w:b/>
          <w:color w:val="7F7F7F" w:themeColor="text1" w:themeTint="80"/>
          <w:sz w:val="24"/>
          <w:szCs w:val="24"/>
          <w:lang w:val="es-ES_tradnl"/>
        </w:rPr>
        <w:t xml:space="preserve">Homicidios </w:t>
      </w:r>
      <w:r w:rsidRPr="003120DF">
        <w:rPr>
          <w:rFonts w:ascii="MS Reference Sans Serif" w:hAnsi="MS Reference Sans Serif"/>
          <w:b/>
          <w:color w:val="7F7F7F" w:themeColor="text1" w:themeTint="80"/>
          <w:sz w:val="24"/>
          <w:szCs w:val="24"/>
          <w:lang w:val="es-ES_tradnl"/>
        </w:rPr>
        <w:t>por cada 100,000 habitantes en Guatemala</w:t>
      </w:r>
    </w:p>
    <w:p w:rsidR="00246D57" w:rsidRDefault="00246D57" w:rsidP="001D26AD">
      <w:pPr>
        <w:spacing w:line="360" w:lineRule="auto"/>
        <w:jc w:val="center"/>
        <w:rPr>
          <w:rFonts w:ascii="MS Reference Sans Serif" w:hAnsi="MS Reference Sans Serif"/>
          <w:sz w:val="24"/>
          <w:szCs w:val="24"/>
          <w:lang w:val="es-ES_tradnl"/>
        </w:rPr>
      </w:pPr>
      <w:r>
        <w:rPr>
          <w:rFonts w:ascii="MS Reference Sans Serif" w:hAnsi="MS Reference Sans Serif"/>
          <w:noProof/>
          <w:sz w:val="24"/>
          <w:szCs w:val="24"/>
          <w:lang w:eastAsia="es-ES"/>
        </w:rPr>
        <w:drawing>
          <wp:inline distT="0" distB="0" distL="0" distR="0">
            <wp:extent cx="4464345" cy="1946575"/>
            <wp:effectExtent l="171450" t="133350" r="355305" b="3013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lum bright="-47000" contrast="40000"/>
                    </a:blip>
                    <a:srcRect l="8442" t="30952" r="4587" b="18572"/>
                    <a:stretch>
                      <a:fillRect/>
                    </a:stretch>
                  </pic:blipFill>
                  <pic:spPr bwMode="auto">
                    <a:xfrm>
                      <a:off x="0" y="0"/>
                      <a:ext cx="4461210" cy="1945208"/>
                    </a:xfrm>
                    <a:prstGeom prst="rect">
                      <a:avLst/>
                    </a:prstGeom>
                    <a:ln>
                      <a:noFill/>
                    </a:ln>
                    <a:effectLst>
                      <a:outerShdw blurRad="292100" dist="139700" dir="2700000" algn="tl" rotWithShape="0">
                        <a:srgbClr val="333333">
                          <a:alpha val="65000"/>
                        </a:srgbClr>
                      </a:outerShdw>
                    </a:effectLst>
                  </pic:spPr>
                </pic:pic>
              </a:graphicData>
            </a:graphic>
          </wp:inline>
        </w:drawing>
      </w:r>
    </w:p>
    <w:p w:rsidR="003120DF" w:rsidRPr="003120DF" w:rsidRDefault="003120DF" w:rsidP="001D26AD">
      <w:pPr>
        <w:spacing w:line="360" w:lineRule="auto"/>
        <w:jc w:val="center"/>
        <w:rPr>
          <w:rFonts w:ascii="MS Reference Sans Serif" w:hAnsi="MS Reference Sans Serif"/>
          <w:b/>
          <w:sz w:val="20"/>
          <w:szCs w:val="20"/>
          <w:lang w:val="es-ES_tradnl"/>
        </w:rPr>
      </w:pPr>
      <w:r w:rsidRPr="003120DF">
        <w:rPr>
          <w:rFonts w:ascii="MS Reference Sans Serif" w:hAnsi="MS Reference Sans Serif"/>
          <w:b/>
          <w:sz w:val="20"/>
          <w:szCs w:val="20"/>
          <w:lang w:val="es-ES_tradnl"/>
        </w:rPr>
        <w:t>Fuente: Banco Mundial</w:t>
      </w:r>
      <w:r>
        <w:rPr>
          <w:rFonts w:ascii="MS Reference Sans Serif" w:hAnsi="MS Reference Sans Serif"/>
          <w:b/>
          <w:sz w:val="20"/>
          <w:szCs w:val="20"/>
          <w:lang w:val="es-ES_tradnl"/>
        </w:rPr>
        <w:t>,</w:t>
      </w:r>
      <w:r w:rsidRPr="003120DF">
        <w:rPr>
          <w:rFonts w:ascii="MS Reference Sans Serif" w:hAnsi="MS Reference Sans Serif"/>
          <w:b/>
          <w:sz w:val="20"/>
          <w:szCs w:val="20"/>
          <w:lang w:val="es-ES_tradnl"/>
        </w:rPr>
        <w:t xml:space="preserve"> 2013</w:t>
      </w:r>
    </w:p>
    <w:p w:rsidR="00ED2721" w:rsidRDefault="00ED2721" w:rsidP="001D26AD">
      <w:pPr>
        <w:spacing w:line="360" w:lineRule="auto"/>
        <w:jc w:val="both"/>
        <w:rPr>
          <w:rFonts w:ascii="MS Reference Sans Serif" w:hAnsi="MS Reference Sans Serif"/>
          <w:sz w:val="24"/>
          <w:szCs w:val="24"/>
          <w:lang w:val="es-ES_tradnl"/>
        </w:rPr>
      </w:pPr>
      <w:r>
        <w:rPr>
          <w:rFonts w:ascii="MS Reference Sans Serif" w:hAnsi="MS Reference Sans Serif"/>
          <w:sz w:val="24"/>
          <w:szCs w:val="24"/>
          <w:lang w:val="es-ES_tradnl"/>
        </w:rPr>
        <w:t>Por otro lado, con relación al cumplimiento por parte de las organizaciones de seguridad y justicia, la</w:t>
      </w:r>
      <w:r w:rsidR="00F47DD5">
        <w:rPr>
          <w:rFonts w:ascii="MS Reference Sans Serif" w:hAnsi="MS Reference Sans Serif"/>
          <w:sz w:val="24"/>
          <w:szCs w:val="24"/>
          <w:lang w:val="es-ES_tradnl"/>
        </w:rPr>
        <w:t xml:space="preserve"> </w:t>
      </w:r>
      <w:r w:rsidR="00F47DD5" w:rsidRPr="00913DB8">
        <w:rPr>
          <w:rFonts w:ascii="MS Reference Sans Serif" w:hAnsi="MS Reference Sans Serif"/>
          <w:sz w:val="24"/>
          <w:szCs w:val="24"/>
          <w:lang w:val="es-ES_tradnl"/>
        </w:rPr>
        <w:t>Procuraduría de los Derec</w:t>
      </w:r>
      <w:r w:rsidR="00F47DD5">
        <w:rPr>
          <w:rFonts w:ascii="MS Reference Sans Serif" w:hAnsi="MS Reference Sans Serif"/>
          <w:sz w:val="24"/>
          <w:szCs w:val="24"/>
          <w:lang w:val="es-ES_tradnl"/>
        </w:rPr>
        <w:t>hos Humanos</w:t>
      </w:r>
      <w:r>
        <w:rPr>
          <w:rFonts w:ascii="MS Reference Sans Serif" w:hAnsi="MS Reference Sans Serif"/>
          <w:sz w:val="24"/>
          <w:szCs w:val="24"/>
          <w:lang w:val="es-ES_tradnl"/>
        </w:rPr>
        <w:t xml:space="preserve"> </w:t>
      </w:r>
      <w:r w:rsidR="00F47DD5">
        <w:rPr>
          <w:rFonts w:ascii="MS Reference Sans Serif" w:hAnsi="MS Reference Sans Serif"/>
          <w:sz w:val="24"/>
          <w:szCs w:val="24"/>
          <w:lang w:val="es-ES_tradnl"/>
        </w:rPr>
        <w:t>–</w:t>
      </w:r>
      <w:r>
        <w:rPr>
          <w:rFonts w:ascii="MS Reference Sans Serif" w:hAnsi="MS Reference Sans Serif"/>
          <w:sz w:val="24"/>
          <w:szCs w:val="24"/>
          <w:lang w:val="es-ES_tradnl"/>
        </w:rPr>
        <w:t>PDH</w:t>
      </w:r>
      <w:r w:rsidR="00F47DD5">
        <w:rPr>
          <w:rFonts w:ascii="MS Reference Sans Serif" w:hAnsi="MS Reference Sans Serif"/>
          <w:sz w:val="24"/>
          <w:szCs w:val="24"/>
          <w:lang w:val="es-ES_tradnl"/>
        </w:rPr>
        <w:t>-</w:t>
      </w:r>
      <w:r>
        <w:rPr>
          <w:rFonts w:ascii="MS Reference Sans Serif" w:hAnsi="MS Reference Sans Serif"/>
          <w:sz w:val="24"/>
          <w:szCs w:val="24"/>
          <w:lang w:val="es-ES_tradnl"/>
        </w:rPr>
        <w:t xml:space="preserve"> identificó que e</w:t>
      </w:r>
      <w:r w:rsidRPr="00ED2721">
        <w:rPr>
          <w:rFonts w:ascii="MS Reference Sans Serif" w:hAnsi="MS Reference Sans Serif"/>
          <w:sz w:val="24"/>
          <w:szCs w:val="24"/>
          <w:lang w:val="es-ES_tradnl"/>
        </w:rPr>
        <w:t>n los registros de mue</w:t>
      </w:r>
      <w:r>
        <w:rPr>
          <w:rFonts w:ascii="MS Reference Sans Serif" w:hAnsi="MS Reference Sans Serif"/>
          <w:sz w:val="24"/>
          <w:szCs w:val="24"/>
          <w:lang w:val="es-ES_tradnl"/>
        </w:rPr>
        <w:t xml:space="preserve">rtes violentas entre una y otra </w:t>
      </w:r>
      <w:r w:rsidRPr="00ED2721">
        <w:rPr>
          <w:rFonts w:ascii="MS Reference Sans Serif" w:hAnsi="MS Reference Sans Serif"/>
          <w:sz w:val="24"/>
          <w:szCs w:val="24"/>
          <w:lang w:val="es-ES_tradnl"/>
        </w:rPr>
        <w:t>entidad hay importantes diferencias, principalmente en las</w:t>
      </w:r>
      <w:r>
        <w:rPr>
          <w:rFonts w:ascii="MS Reference Sans Serif" w:hAnsi="MS Reference Sans Serif"/>
          <w:sz w:val="24"/>
          <w:szCs w:val="24"/>
          <w:lang w:val="es-ES_tradnl"/>
        </w:rPr>
        <w:t xml:space="preserve"> </w:t>
      </w:r>
      <w:r w:rsidRPr="00ED2721">
        <w:rPr>
          <w:rFonts w:ascii="MS Reference Sans Serif" w:hAnsi="MS Reference Sans Serif"/>
          <w:sz w:val="24"/>
          <w:szCs w:val="24"/>
          <w:lang w:val="es-ES_tradnl"/>
        </w:rPr>
        <w:t xml:space="preserve">cifras del </w:t>
      </w:r>
      <w:r>
        <w:rPr>
          <w:rFonts w:ascii="MS Reference Sans Serif" w:hAnsi="MS Reference Sans Serif"/>
          <w:sz w:val="24"/>
          <w:szCs w:val="24"/>
          <w:lang w:val="es-ES_tradnl"/>
        </w:rPr>
        <w:t>MP</w:t>
      </w:r>
      <w:r w:rsidRPr="00ED2721">
        <w:rPr>
          <w:rFonts w:ascii="MS Reference Sans Serif" w:hAnsi="MS Reference Sans Serif"/>
          <w:sz w:val="24"/>
          <w:szCs w:val="24"/>
          <w:lang w:val="es-ES_tradnl"/>
        </w:rPr>
        <w:t xml:space="preserve"> en relación con el resto de entidades.</w:t>
      </w:r>
      <w:r w:rsidR="001E7FB5">
        <w:rPr>
          <w:rFonts w:ascii="MS Reference Sans Serif" w:hAnsi="MS Reference Sans Serif"/>
          <w:sz w:val="24"/>
          <w:szCs w:val="24"/>
          <w:lang w:val="es-ES_tradnl"/>
        </w:rPr>
        <w:t xml:space="preserve"> (</w:t>
      </w:r>
      <w:r w:rsidR="001E7FB5" w:rsidRPr="00C672A2">
        <w:rPr>
          <w:rFonts w:ascii="MS Reference Sans Serif" w:hAnsi="MS Reference Sans Serif"/>
          <w:b/>
          <w:color w:val="7F7F7F" w:themeColor="text1" w:themeTint="80"/>
          <w:lang w:val="es-ES_tradnl"/>
        </w:rPr>
        <w:t>Ver tabla 2</w:t>
      </w:r>
      <w:r w:rsidR="001E7FB5">
        <w:rPr>
          <w:rFonts w:ascii="MS Reference Sans Serif" w:hAnsi="MS Reference Sans Serif"/>
          <w:sz w:val="24"/>
          <w:szCs w:val="24"/>
          <w:lang w:val="es-ES_tradnl"/>
        </w:rPr>
        <w:t>)</w:t>
      </w:r>
    </w:p>
    <w:p w:rsidR="00715FC3" w:rsidRDefault="00715FC3" w:rsidP="001D26AD">
      <w:pPr>
        <w:spacing w:line="360" w:lineRule="auto"/>
        <w:jc w:val="both"/>
        <w:rPr>
          <w:rFonts w:ascii="MS Reference Sans Serif" w:hAnsi="MS Reference Sans Serif"/>
          <w:sz w:val="24"/>
          <w:szCs w:val="24"/>
          <w:lang w:val="es-ES_tradnl"/>
        </w:rPr>
      </w:pPr>
    </w:p>
    <w:p w:rsidR="00715FC3" w:rsidRPr="001E7FB5" w:rsidRDefault="001E7FB5" w:rsidP="001D26AD">
      <w:pPr>
        <w:spacing w:line="360" w:lineRule="auto"/>
        <w:jc w:val="center"/>
        <w:rPr>
          <w:rFonts w:ascii="MS Reference Sans Serif" w:hAnsi="MS Reference Sans Serif"/>
          <w:b/>
          <w:color w:val="7F7F7F" w:themeColor="text1" w:themeTint="80"/>
          <w:sz w:val="24"/>
          <w:szCs w:val="24"/>
          <w:lang w:val="es-ES_tradnl"/>
        </w:rPr>
      </w:pPr>
      <w:r w:rsidRPr="001E7FB5">
        <w:rPr>
          <w:rFonts w:ascii="MS Reference Sans Serif" w:hAnsi="MS Reference Sans Serif"/>
          <w:b/>
          <w:color w:val="7F7F7F" w:themeColor="text1" w:themeTint="80"/>
          <w:sz w:val="24"/>
          <w:szCs w:val="24"/>
          <w:lang w:val="es-ES_tradnl"/>
        </w:rPr>
        <w:t xml:space="preserve">Tabla 2: </w:t>
      </w:r>
      <w:r w:rsidR="00ED2721" w:rsidRPr="001E7FB5">
        <w:rPr>
          <w:rFonts w:ascii="MS Reference Sans Serif" w:hAnsi="MS Reference Sans Serif"/>
          <w:b/>
          <w:color w:val="7F7F7F" w:themeColor="text1" w:themeTint="80"/>
          <w:sz w:val="24"/>
          <w:szCs w:val="24"/>
          <w:lang w:val="es-ES_tradnl"/>
        </w:rPr>
        <w:t>Registros del MP, INACIF, PNC y CENADOJ de muertes violentas</w:t>
      </w:r>
    </w:p>
    <w:p w:rsidR="00ED2721" w:rsidRPr="001E7FB5" w:rsidRDefault="00ED2721" w:rsidP="001D26AD">
      <w:pPr>
        <w:spacing w:line="360" w:lineRule="auto"/>
        <w:jc w:val="center"/>
        <w:rPr>
          <w:rFonts w:ascii="MS Reference Sans Serif" w:hAnsi="MS Reference Sans Serif"/>
          <w:color w:val="7F7F7F" w:themeColor="text1" w:themeTint="80"/>
          <w:sz w:val="24"/>
          <w:szCs w:val="24"/>
          <w:lang w:val="es-ES_tradnl"/>
        </w:rPr>
      </w:pPr>
      <w:r w:rsidRPr="001E7FB5">
        <w:rPr>
          <w:rFonts w:ascii="MS Reference Sans Serif" w:hAnsi="MS Reference Sans Serif"/>
          <w:b/>
          <w:color w:val="7F7F7F" w:themeColor="text1" w:themeTint="80"/>
          <w:sz w:val="24"/>
          <w:szCs w:val="24"/>
          <w:lang w:val="es-ES_tradnl"/>
        </w:rPr>
        <w:t>Período 2009-2011</w:t>
      </w:r>
    </w:p>
    <w:p w:rsidR="00715FC3" w:rsidRDefault="00715FC3" w:rsidP="001D26AD">
      <w:pPr>
        <w:spacing w:line="360" w:lineRule="auto"/>
        <w:jc w:val="center"/>
        <w:rPr>
          <w:rFonts w:ascii="MS Reference Sans Serif" w:hAnsi="MS Reference Sans Serif"/>
          <w:sz w:val="24"/>
          <w:szCs w:val="24"/>
          <w:lang w:val="es-ES_tradnl"/>
        </w:rPr>
      </w:pPr>
      <w:r>
        <w:rPr>
          <w:rFonts w:ascii="MS Reference Sans Serif" w:hAnsi="MS Reference Sans Serif"/>
          <w:noProof/>
          <w:sz w:val="24"/>
          <w:szCs w:val="24"/>
          <w:lang w:eastAsia="es-ES"/>
        </w:rPr>
        <w:drawing>
          <wp:inline distT="0" distB="0" distL="0" distR="0">
            <wp:extent cx="5923046" cy="2105247"/>
            <wp:effectExtent l="171450" t="133350" r="363454" b="314103"/>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srcRect l="3793" t="32262" r="17346" b="30374"/>
                    <a:stretch>
                      <a:fillRect/>
                    </a:stretch>
                  </pic:blipFill>
                  <pic:spPr bwMode="auto">
                    <a:xfrm>
                      <a:off x="0" y="0"/>
                      <a:ext cx="5924406" cy="2105730"/>
                    </a:xfrm>
                    <a:prstGeom prst="rect">
                      <a:avLst/>
                    </a:prstGeom>
                    <a:ln>
                      <a:noFill/>
                    </a:ln>
                    <a:effectLst>
                      <a:outerShdw blurRad="292100" dist="139700" dir="2700000" algn="tl" rotWithShape="0">
                        <a:srgbClr val="333333">
                          <a:alpha val="65000"/>
                        </a:srgbClr>
                      </a:outerShdw>
                    </a:effectLst>
                  </pic:spPr>
                </pic:pic>
              </a:graphicData>
            </a:graphic>
          </wp:inline>
        </w:drawing>
      </w:r>
    </w:p>
    <w:p w:rsidR="00715FC3" w:rsidRPr="00C672A2" w:rsidRDefault="00C672A2" w:rsidP="001D26AD">
      <w:pPr>
        <w:spacing w:line="360" w:lineRule="auto"/>
        <w:jc w:val="center"/>
        <w:rPr>
          <w:rFonts w:ascii="MS Reference Sans Serif" w:hAnsi="MS Reference Sans Serif"/>
          <w:b/>
          <w:sz w:val="20"/>
          <w:szCs w:val="20"/>
          <w:lang w:val="es-ES_tradnl"/>
        </w:rPr>
      </w:pPr>
      <w:r w:rsidRPr="00C672A2">
        <w:rPr>
          <w:rFonts w:ascii="MS Reference Sans Serif" w:hAnsi="MS Reference Sans Serif"/>
          <w:b/>
          <w:sz w:val="20"/>
          <w:szCs w:val="20"/>
          <w:lang w:val="es-ES_tradnl"/>
        </w:rPr>
        <w:t>Fuente: Procuraduría de los Derechos Humanos, 2012</w:t>
      </w:r>
    </w:p>
    <w:p w:rsidR="00715FC3" w:rsidRDefault="00715FC3" w:rsidP="001D26AD">
      <w:pPr>
        <w:spacing w:line="360" w:lineRule="auto"/>
        <w:jc w:val="both"/>
        <w:rPr>
          <w:rFonts w:ascii="MS Reference Sans Serif" w:hAnsi="MS Reference Sans Serif"/>
          <w:sz w:val="24"/>
          <w:szCs w:val="24"/>
          <w:lang w:val="es-ES_tradnl"/>
        </w:rPr>
      </w:pPr>
    </w:p>
    <w:p w:rsidR="00B51664" w:rsidRDefault="008870BF" w:rsidP="001D26AD">
      <w:pPr>
        <w:spacing w:line="360" w:lineRule="auto"/>
        <w:jc w:val="both"/>
        <w:rPr>
          <w:rFonts w:ascii="MS Reference Sans Serif" w:hAnsi="MS Reference Sans Serif"/>
          <w:sz w:val="24"/>
          <w:szCs w:val="24"/>
          <w:lang w:val="es-ES_tradnl"/>
        </w:rPr>
      </w:pPr>
      <w:r>
        <w:rPr>
          <w:rFonts w:ascii="MS Reference Sans Serif" w:hAnsi="MS Reference Sans Serif"/>
          <w:sz w:val="24"/>
          <w:szCs w:val="24"/>
          <w:lang w:val="es-ES_tradnl"/>
        </w:rPr>
        <w:t>Otros avances reportados por parte de las autoridades encargadas del eje de Seguridad Democrática y Justicia son</w:t>
      </w:r>
      <w:r w:rsidR="00140D2D">
        <w:rPr>
          <w:rFonts w:ascii="MS Reference Sans Serif" w:hAnsi="MS Reference Sans Serif"/>
          <w:sz w:val="24"/>
          <w:szCs w:val="24"/>
          <w:lang w:val="es-ES_tradnl"/>
        </w:rPr>
        <w:t xml:space="preserve"> la reducción de las muertes violentas de </w:t>
      </w:r>
      <w:r>
        <w:rPr>
          <w:rFonts w:ascii="MS Reference Sans Serif" w:hAnsi="MS Reference Sans Serif"/>
          <w:sz w:val="24"/>
          <w:szCs w:val="24"/>
          <w:lang w:val="es-ES_tradnl"/>
        </w:rPr>
        <w:t>mujeres -9 por ciento menos que en 2011-, los secuestros -33 por ciento menos que en 2011-, las lesiones -2 por ciento menos que en 2011-</w:t>
      </w:r>
      <w:r w:rsidR="00140D2D" w:rsidRPr="00F40BB2">
        <w:rPr>
          <w:rFonts w:ascii="MS Reference Sans Serif" w:hAnsi="MS Reference Sans Serif"/>
          <w:sz w:val="24"/>
          <w:szCs w:val="24"/>
          <w:lang w:val="es-ES_tradnl"/>
        </w:rPr>
        <w:t xml:space="preserve"> y el hurto y r</w:t>
      </w:r>
      <w:r w:rsidR="00140D2D">
        <w:rPr>
          <w:rFonts w:ascii="MS Reference Sans Serif" w:hAnsi="MS Reference Sans Serif"/>
          <w:sz w:val="24"/>
          <w:szCs w:val="24"/>
          <w:lang w:val="es-ES_tradnl"/>
        </w:rPr>
        <w:t>obo de vehícu</w:t>
      </w:r>
      <w:r>
        <w:rPr>
          <w:rFonts w:ascii="MS Reference Sans Serif" w:hAnsi="MS Reference Sans Serif"/>
          <w:sz w:val="24"/>
          <w:szCs w:val="24"/>
          <w:lang w:val="es-ES_tradnl"/>
        </w:rPr>
        <w:t>los -</w:t>
      </w:r>
      <w:r w:rsidR="00140D2D">
        <w:rPr>
          <w:rFonts w:ascii="MS Reference Sans Serif" w:hAnsi="MS Reference Sans Serif"/>
          <w:sz w:val="24"/>
          <w:szCs w:val="24"/>
          <w:lang w:val="es-ES_tradnl"/>
        </w:rPr>
        <w:t xml:space="preserve">5 por ciento </w:t>
      </w:r>
      <w:r>
        <w:rPr>
          <w:rFonts w:ascii="MS Reference Sans Serif" w:hAnsi="MS Reference Sans Serif"/>
          <w:sz w:val="24"/>
          <w:szCs w:val="24"/>
          <w:lang w:val="es-ES_tradnl"/>
        </w:rPr>
        <w:t>menos que en 2011-</w:t>
      </w:r>
      <w:r w:rsidR="00140D2D" w:rsidRPr="00F40BB2">
        <w:rPr>
          <w:rFonts w:ascii="MS Reference Sans Serif" w:hAnsi="MS Reference Sans Serif"/>
          <w:sz w:val="24"/>
          <w:szCs w:val="24"/>
          <w:lang w:val="es-ES_tradnl"/>
        </w:rPr>
        <w:t>.</w:t>
      </w:r>
    </w:p>
    <w:p w:rsidR="00140D2D" w:rsidRPr="00B51664" w:rsidRDefault="00B51664" w:rsidP="001D26AD">
      <w:pPr>
        <w:pStyle w:val="Ttulo1"/>
        <w:numPr>
          <w:ilvl w:val="1"/>
          <w:numId w:val="4"/>
        </w:numPr>
        <w:spacing w:line="360" w:lineRule="auto"/>
        <w:rPr>
          <w:color w:val="7F7F7F" w:themeColor="text1" w:themeTint="80"/>
          <w:lang w:val="es-ES_tradnl"/>
        </w:rPr>
      </w:pPr>
      <w:bookmarkStart w:id="1" w:name="_Toc369732049"/>
      <w:r>
        <w:rPr>
          <w:color w:val="7F7F7F" w:themeColor="text1" w:themeTint="80"/>
          <w:lang w:val="es-ES_tradnl"/>
        </w:rPr>
        <w:t xml:space="preserve">Violaciones del derecho a la vida: </w:t>
      </w:r>
      <w:r w:rsidRPr="00B51664">
        <w:rPr>
          <w:color w:val="7F7F7F" w:themeColor="text1" w:themeTint="80"/>
          <w:lang w:val="es-ES_tradnl"/>
        </w:rPr>
        <w:t>Linchamientos</w:t>
      </w:r>
      <w:bookmarkEnd w:id="1"/>
    </w:p>
    <w:p w:rsidR="007B31B7" w:rsidRDefault="00ED2343" w:rsidP="001D26AD">
      <w:pPr>
        <w:spacing w:line="360" w:lineRule="auto"/>
        <w:jc w:val="both"/>
        <w:rPr>
          <w:rFonts w:ascii="MS Reference Sans Serif" w:hAnsi="MS Reference Sans Serif"/>
          <w:sz w:val="24"/>
          <w:szCs w:val="24"/>
          <w:lang w:val="es-ES_tradnl"/>
        </w:rPr>
      </w:pPr>
      <w:r w:rsidRPr="006F4C36">
        <w:rPr>
          <w:rFonts w:ascii="MS Reference Sans Serif" w:hAnsi="MS Reference Sans Serif"/>
          <w:sz w:val="24"/>
          <w:szCs w:val="24"/>
          <w:lang w:val="es-ES_tradnl"/>
        </w:rPr>
        <w:t xml:space="preserve">A </w:t>
      </w:r>
      <w:r w:rsidR="00C12F54" w:rsidRPr="006F4C36">
        <w:rPr>
          <w:rFonts w:ascii="MS Reference Sans Serif" w:hAnsi="MS Reference Sans Serif"/>
          <w:sz w:val="24"/>
          <w:szCs w:val="24"/>
          <w:lang w:val="es-ES_tradnl"/>
        </w:rPr>
        <w:t>pesar de la existe</w:t>
      </w:r>
      <w:r w:rsidR="00F71117" w:rsidRPr="006F4C36">
        <w:rPr>
          <w:rFonts w:ascii="MS Reference Sans Serif" w:hAnsi="MS Reference Sans Serif"/>
          <w:sz w:val="24"/>
          <w:szCs w:val="24"/>
          <w:lang w:val="es-ES_tradnl"/>
        </w:rPr>
        <w:t>ncia del</w:t>
      </w:r>
      <w:r w:rsidR="00E44C98">
        <w:rPr>
          <w:rFonts w:ascii="MS Reference Sans Serif" w:hAnsi="MS Reference Sans Serif"/>
          <w:sz w:val="24"/>
          <w:szCs w:val="24"/>
          <w:lang w:val="es-ES_tradnl"/>
        </w:rPr>
        <w:t xml:space="preserve"> Pacto por la Seguridad, la Justicia y la Paz, el</w:t>
      </w:r>
      <w:r w:rsidR="00F71117" w:rsidRPr="006F4C36">
        <w:rPr>
          <w:rFonts w:ascii="MS Reference Sans Serif" w:hAnsi="MS Reference Sans Serif"/>
          <w:sz w:val="24"/>
          <w:szCs w:val="24"/>
          <w:lang w:val="es-ES_tradnl"/>
        </w:rPr>
        <w:t xml:space="preserve"> marco legal y el soporte institucional del</w:t>
      </w:r>
      <w:r w:rsidR="00F71117">
        <w:rPr>
          <w:rFonts w:ascii="MS Reference Sans Serif" w:hAnsi="MS Reference Sans Serif"/>
          <w:sz w:val="24"/>
          <w:szCs w:val="24"/>
          <w:lang w:val="es-ES_tradnl"/>
        </w:rPr>
        <w:t xml:space="preserve"> gobierno</w:t>
      </w:r>
      <w:r>
        <w:rPr>
          <w:rFonts w:ascii="MS Reference Sans Serif" w:hAnsi="MS Reference Sans Serif"/>
          <w:sz w:val="24"/>
          <w:szCs w:val="24"/>
          <w:lang w:val="es-ES_tradnl"/>
        </w:rPr>
        <w:t>,</w:t>
      </w:r>
      <w:r w:rsidR="00C6074D">
        <w:rPr>
          <w:rFonts w:ascii="MS Reference Sans Serif" w:hAnsi="MS Reference Sans Serif"/>
          <w:sz w:val="24"/>
          <w:szCs w:val="24"/>
          <w:lang w:val="es-ES_tradnl"/>
        </w:rPr>
        <w:t xml:space="preserve"> </w:t>
      </w:r>
      <w:r>
        <w:rPr>
          <w:rFonts w:ascii="MS Reference Sans Serif" w:hAnsi="MS Reference Sans Serif"/>
          <w:sz w:val="24"/>
          <w:szCs w:val="24"/>
          <w:lang w:val="es-ES_tradnl"/>
        </w:rPr>
        <w:t>existen</w:t>
      </w:r>
      <w:r w:rsidR="00B85EF2">
        <w:rPr>
          <w:rFonts w:ascii="MS Reference Sans Serif" w:hAnsi="MS Reference Sans Serif"/>
          <w:sz w:val="24"/>
          <w:szCs w:val="24"/>
          <w:lang w:val="es-ES_tradnl"/>
        </w:rPr>
        <w:t xml:space="preserve"> hallazgos sobre las</w:t>
      </w:r>
      <w:r w:rsidR="00F71117">
        <w:rPr>
          <w:rFonts w:ascii="MS Reference Sans Serif" w:hAnsi="MS Reference Sans Serif"/>
          <w:sz w:val="24"/>
          <w:szCs w:val="24"/>
          <w:lang w:val="es-ES_tradnl"/>
        </w:rPr>
        <w:t xml:space="preserve"> violaciones al derecho a la vida,</w:t>
      </w:r>
      <w:r w:rsidR="00C6074D">
        <w:rPr>
          <w:rFonts w:ascii="MS Reference Sans Serif" w:hAnsi="MS Reference Sans Serif"/>
          <w:sz w:val="24"/>
          <w:szCs w:val="24"/>
          <w:lang w:val="es-ES_tradnl"/>
        </w:rPr>
        <w:t xml:space="preserve"> la seguridad y la justicia</w:t>
      </w:r>
      <w:r w:rsidR="00C90ED2">
        <w:rPr>
          <w:rFonts w:ascii="MS Reference Sans Serif" w:hAnsi="MS Reference Sans Serif"/>
          <w:sz w:val="24"/>
          <w:szCs w:val="24"/>
          <w:lang w:val="es-ES_tradnl"/>
        </w:rPr>
        <w:t>.</w:t>
      </w:r>
      <w:r w:rsidR="00C82BA0">
        <w:rPr>
          <w:rFonts w:ascii="MS Reference Sans Serif" w:hAnsi="MS Reference Sans Serif"/>
          <w:sz w:val="24"/>
          <w:szCs w:val="24"/>
          <w:lang w:val="es-ES_tradnl"/>
        </w:rPr>
        <w:t xml:space="preserve"> </w:t>
      </w:r>
      <w:r w:rsidR="00C90ED2">
        <w:rPr>
          <w:rFonts w:ascii="MS Reference Sans Serif" w:hAnsi="MS Reference Sans Serif"/>
          <w:sz w:val="24"/>
          <w:szCs w:val="24"/>
          <w:lang w:val="es-ES_tradnl"/>
        </w:rPr>
        <w:t>Estas</w:t>
      </w:r>
      <w:r w:rsidR="00A95F99">
        <w:rPr>
          <w:rFonts w:ascii="MS Reference Sans Serif" w:hAnsi="MS Reference Sans Serif"/>
          <w:sz w:val="24"/>
          <w:szCs w:val="24"/>
          <w:lang w:val="es-ES_tradnl"/>
        </w:rPr>
        <w:t xml:space="preserve"> </w:t>
      </w:r>
      <w:r w:rsidR="00C12F54">
        <w:rPr>
          <w:rFonts w:ascii="MS Reference Sans Serif" w:hAnsi="MS Reference Sans Serif"/>
          <w:sz w:val="24"/>
          <w:szCs w:val="24"/>
          <w:lang w:val="es-ES_tradnl"/>
        </w:rPr>
        <w:t>violaciones</w:t>
      </w:r>
      <w:r w:rsidR="00A95F99">
        <w:rPr>
          <w:rFonts w:ascii="MS Reference Sans Serif" w:hAnsi="MS Reference Sans Serif"/>
          <w:sz w:val="24"/>
          <w:szCs w:val="24"/>
          <w:lang w:val="es-ES_tradnl"/>
        </w:rPr>
        <w:t xml:space="preserve"> se encuentran en</w:t>
      </w:r>
      <w:r w:rsidR="00C12F54">
        <w:rPr>
          <w:rFonts w:ascii="MS Reference Sans Serif" w:hAnsi="MS Reference Sans Serif"/>
          <w:sz w:val="24"/>
          <w:szCs w:val="24"/>
          <w:lang w:val="es-ES_tradnl"/>
        </w:rPr>
        <w:t xml:space="preserve"> la provisión de</w:t>
      </w:r>
      <w:r w:rsidR="003022A6">
        <w:rPr>
          <w:rFonts w:ascii="MS Reference Sans Serif" w:hAnsi="MS Reference Sans Serif"/>
          <w:sz w:val="24"/>
          <w:szCs w:val="24"/>
          <w:lang w:val="es-ES_tradnl"/>
        </w:rPr>
        <w:t xml:space="preserve"> los</w:t>
      </w:r>
      <w:r w:rsidR="00C12F54">
        <w:rPr>
          <w:rFonts w:ascii="MS Reference Sans Serif" w:hAnsi="MS Reference Sans Serif"/>
          <w:sz w:val="24"/>
          <w:szCs w:val="24"/>
          <w:lang w:val="es-ES_tradnl"/>
        </w:rPr>
        <w:t xml:space="preserve"> servicios</w:t>
      </w:r>
      <w:r w:rsidR="00413AD1">
        <w:rPr>
          <w:rFonts w:ascii="MS Reference Sans Serif" w:hAnsi="MS Reference Sans Serif"/>
          <w:sz w:val="24"/>
          <w:szCs w:val="24"/>
          <w:lang w:val="es-ES_tradnl"/>
        </w:rPr>
        <w:t xml:space="preserve"> –</w:t>
      </w:r>
      <w:r w:rsidR="00EC4804">
        <w:rPr>
          <w:rFonts w:ascii="MS Reference Sans Serif" w:hAnsi="MS Reference Sans Serif"/>
          <w:sz w:val="24"/>
          <w:szCs w:val="24"/>
          <w:lang w:val="es-ES_tradnl"/>
        </w:rPr>
        <w:t>disponibilidad, accesibilidad</w:t>
      </w:r>
      <w:r w:rsidR="0077455E">
        <w:rPr>
          <w:rFonts w:ascii="MS Reference Sans Serif" w:hAnsi="MS Reference Sans Serif"/>
          <w:sz w:val="24"/>
          <w:szCs w:val="24"/>
          <w:lang w:val="es-ES_tradnl"/>
        </w:rPr>
        <w:t xml:space="preserve"> y calidad</w:t>
      </w:r>
      <w:r w:rsidR="00413AD1">
        <w:rPr>
          <w:rFonts w:ascii="MS Reference Sans Serif" w:hAnsi="MS Reference Sans Serif"/>
          <w:sz w:val="24"/>
          <w:szCs w:val="24"/>
          <w:lang w:val="es-ES_tradnl"/>
        </w:rPr>
        <w:t>- en el</w:t>
      </w:r>
      <w:r w:rsidR="00C12F54">
        <w:rPr>
          <w:rFonts w:ascii="MS Reference Sans Serif" w:hAnsi="MS Reference Sans Serif"/>
          <w:sz w:val="24"/>
          <w:szCs w:val="24"/>
          <w:lang w:val="es-ES_tradnl"/>
        </w:rPr>
        <w:t xml:space="preserve"> sistema de seguridad y justicia.</w:t>
      </w:r>
      <w:r w:rsidR="00E312D1">
        <w:rPr>
          <w:rFonts w:ascii="MS Reference Sans Serif" w:hAnsi="MS Reference Sans Serif"/>
          <w:sz w:val="24"/>
          <w:szCs w:val="24"/>
          <w:lang w:val="es-ES_tradnl"/>
        </w:rPr>
        <w:t xml:space="preserve"> Por ejemplo</w:t>
      </w:r>
      <w:r w:rsidR="00756367">
        <w:rPr>
          <w:rFonts w:ascii="MS Reference Sans Serif" w:hAnsi="MS Reference Sans Serif"/>
          <w:sz w:val="24"/>
          <w:szCs w:val="24"/>
          <w:lang w:val="es-ES_tradnl"/>
        </w:rPr>
        <w:t>,</w:t>
      </w:r>
      <w:r w:rsidR="00A95F99">
        <w:rPr>
          <w:rFonts w:ascii="MS Reference Sans Serif" w:hAnsi="MS Reference Sans Serif"/>
          <w:sz w:val="24"/>
          <w:szCs w:val="24"/>
          <w:lang w:val="es-ES_tradnl"/>
        </w:rPr>
        <w:t xml:space="preserve"> la PDH identificó </w:t>
      </w:r>
      <w:r w:rsidR="00CF1788">
        <w:rPr>
          <w:rFonts w:ascii="MS Reference Sans Serif" w:hAnsi="MS Reference Sans Serif"/>
          <w:sz w:val="24"/>
          <w:szCs w:val="24"/>
          <w:lang w:val="es-ES_tradnl"/>
        </w:rPr>
        <w:t>que durante</w:t>
      </w:r>
      <w:r w:rsidR="00A95F99">
        <w:rPr>
          <w:rFonts w:ascii="MS Reference Sans Serif" w:hAnsi="MS Reference Sans Serif"/>
          <w:sz w:val="24"/>
          <w:szCs w:val="24"/>
          <w:lang w:val="es-ES_tradnl"/>
        </w:rPr>
        <w:t xml:space="preserve"> el</w:t>
      </w:r>
      <w:r w:rsidR="00CF1788">
        <w:rPr>
          <w:rFonts w:ascii="MS Reference Sans Serif" w:hAnsi="MS Reference Sans Serif"/>
          <w:sz w:val="24"/>
          <w:szCs w:val="24"/>
          <w:lang w:val="es-ES_tradnl"/>
        </w:rPr>
        <w:t xml:space="preserve"> año</w:t>
      </w:r>
      <w:r w:rsidR="00A95F99">
        <w:rPr>
          <w:rFonts w:ascii="MS Reference Sans Serif" w:hAnsi="MS Reference Sans Serif"/>
          <w:sz w:val="24"/>
          <w:szCs w:val="24"/>
          <w:lang w:val="es-ES_tradnl"/>
        </w:rPr>
        <w:t xml:space="preserve"> 2012,</w:t>
      </w:r>
      <w:r w:rsidR="00E312D1">
        <w:rPr>
          <w:rFonts w:ascii="MS Reference Sans Serif" w:hAnsi="MS Reference Sans Serif"/>
          <w:sz w:val="24"/>
          <w:szCs w:val="24"/>
          <w:lang w:val="es-ES_tradnl"/>
        </w:rPr>
        <w:t xml:space="preserve"> e</w:t>
      </w:r>
      <w:r w:rsidR="00A95F99">
        <w:rPr>
          <w:rFonts w:ascii="MS Reference Sans Serif" w:hAnsi="MS Reference Sans Serif"/>
          <w:sz w:val="24"/>
          <w:szCs w:val="24"/>
          <w:lang w:val="es-ES_tradnl"/>
        </w:rPr>
        <w:t>l Ministerio Público –MP- contaba</w:t>
      </w:r>
      <w:r w:rsidR="00E312D1">
        <w:rPr>
          <w:rFonts w:ascii="MS Reference Sans Serif" w:hAnsi="MS Reference Sans Serif"/>
          <w:sz w:val="24"/>
          <w:szCs w:val="24"/>
          <w:lang w:val="es-ES_tradnl"/>
        </w:rPr>
        <w:t xml:space="preserve"> con una cobertura del 16% en todo el territorio nacional -56 mu</w:t>
      </w:r>
      <w:r w:rsidR="00E44C98">
        <w:rPr>
          <w:rFonts w:ascii="MS Reference Sans Serif" w:hAnsi="MS Reference Sans Serif"/>
          <w:sz w:val="24"/>
          <w:szCs w:val="24"/>
          <w:lang w:val="es-ES_tradnl"/>
        </w:rPr>
        <w:t>nicipios de 334 en todo el país-</w:t>
      </w:r>
      <w:r w:rsidR="00EC4804">
        <w:rPr>
          <w:rFonts w:ascii="MS Reference Sans Serif" w:hAnsi="MS Reference Sans Serif"/>
          <w:sz w:val="24"/>
          <w:szCs w:val="24"/>
          <w:lang w:val="es-ES_tradnl"/>
        </w:rPr>
        <w:t>.</w:t>
      </w:r>
      <w:r w:rsidR="00C90ED2">
        <w:rPr>
          <w:rFonts w:ascii="MS Reference Sans Serif" w:hAnsi="MS Reference Sans Serif"/>
          <w:sz w:val="24"/>
          <w:szCs w:val="24"/>
          <w:lang w:val="es-ES_tradnl"/>
        </w:rPr>
        <w:t xml:space="preserve"> Otro ejemplo</w:t>
      </w:r>
      <w:r w:rsidR="00B85EF2">
        <w:rPr>
          <w:rFonts w:ascii="MS Reference Sans Serif" w:hAnsi="MS Reference Sans Serif"/>
          <w:sz w:val="24"/>
          <w:szCs w:val="24"/>
          <w:lang w:val="es-ES_tradnl"/>
        </w:rPr>
        <w:t xml:space="preserve"> de violación del derecho a la vida</w:t>
      </w:r>
      <w:r w:rsidR="00C90ED2">
        <w:rPr>
          <w:rFonts w:ascii="MS Reference Sans Serif" w:hAnsi="MS Reference Sans Serif"/>
          <w:sz w:val="24"/>
          <w:szCs w:val="24"/>
          <w:lang w:val="es-ES_tradnl"/>
        </w:rPr>
        <w:t xml:space="preserve"> se demuestra en los </w:t>
      </w:r>
      <w:r w:rsidR="00CF3C07">
        <w:rPr>
          <w:rFonts w:ascii="MS Reference Sans Serif" w:hAnsi="MS Reference Sans Serif"/>
          <w:sz w:val="24"/>
          <w:szCs w:val="24"/>
          <w:lang w:val="es-ES_tradnl"/>
        </w:rPr>
        <w:t>casos de linchamientos que no se integran en los resultados anuales que se fijan las instituciones encargadas de la seguridad y la justicia.</w:t>
      </w:r>
    </w:p>
    <w:p w:rsidR="00CF3C07" w:rsidRDefault="00CF3C07" w:rsidP="001D26AD">
      <w:pPr>
        <w:spacing w:line="360" w:lineRule="auto"/>
        <w:jc w:val="both"/>
        <w:rPr>
          <w:rFonts w:ascii="MS Reference Sans Serif" w:hAnsi="MS Reference Sans Serif"/>
          <w:sz w:val="24"/>
          <w:szCs w:val="24"/>
          <w:lang w:val="es-ES_tradnl"/>
        </w:rPr>
      </w:pPr>
    </w:p>
    <w:p w:rsidR="007B31B7" w:rsidRDefault="007B31B7" w:rsidP="001D26AD">
      <w:pPr>
        <w:spacing w:line="360" w:lineRule="auto"/>
        <w:jc w:val="both"/>
        <w:rPr>
          <w:rFonts w:ascii="MS Reference Sans Serif" w:hAnsi="MS Reference Sans Serif"/>
          <w:sz w:val="24"/>
          <w:szCs w:val="24"/>
          <w:lang w:val="es-ES_tradnl"/>
        </w:rPr>
      </w:pPr>
      <w:r>
        <w:rPr>
          <w:rFonts w:ascii="MS Reference Sans Serif" w:hAnsi="MS Reference Sans Serif"/>
          <w:sz w:val="24"/>
          <w:szCs w:val="24"/>
          <w:lang w:val="es-ES_tradnl"/>
        </w:rPr>
        <w:t>Estas acciones de linchamientos</w:t>
      </w:r>
      <w:r w:rsidR="005C4477">
        <w:rPr>
          <w:rFonts w:ascii="MS Reference Sans Serif" w:hAnsi="MS Reference Sans Serif"/>
          <w:sz w:val="24"/>
          <w:szCs w:val="24"/>
          <w:lang w:val="es-ES_tradnl"/>
        </w:rPr>
        <w:t xml:space="preserve"> o violencia tumultuaria se tipifica en el</w:t>
      </w:r>
      <w:r>
        <w:rPr>
          <w:rFonts w:ascii="MS Reference Sans Serif" w:hAnsi="MS Reference Sans Serif"/>
          <w:sz w:val="24"/>
          <w:szCs w:val="24"/>
          <w:lang w:val="es-ES_tradnl"/>
        </w:rPr>
        <w:t xml:space="preserve"> Código </w:t>
      </w:r>
      <w:r w:rsidR="005C4477">
        <w:rPr>
          <w:rFonts w:ascii="MS Reference Sans Serif" w:hAnsi="MS Reference Sans Serif"/>
          <w:sz w:val="24"/>
          <w:szCs w:val="24"/>
          <w:lang w:val="es-ES_tradnl"/>
        </w:rPr>
        <w:t>Penal de Guatemala con el artículo 125 como</w:t>
      </w:r>
      <w:r>
        <w:rPr>
          <w:rFonts w:ascii="MS Reference Sans Serif" w:hAnsi="MS Reference Sans Serif"/>
          <w:sz w:val="24"/>
          <w:szCs w:val="24"/>
          <w:lang w:val="es-ES_tradnl"/>
        </w:rPr>
        <w:t xml:space="preserve"> Homicidio en Riña Tumultuaria: “</w:t>
      </w:r>
      <w:r w:rsidRPr="009B7304">
        <w:rPr>
          <w:rFonts w:ascii="MS Reference Sans Serif" w:hAnsi="MS Reference Sans Serif"/>
          <w:sz w:val="24"/>
          <w:szCs w:val="24"/>
          <w:lang w:val="es-ES_tradnl"/>
        </w:rPr>
        <w:t>Cuando riñendo varios y aco</w:t>
      </w:r>
      <w:r>
        <w:rPr>
          <w:rFonts w:ascii="MS Reference Sans Serif" w:hAnsi="MS Reference Sans Serif"/>
          <w:sz w:val="24"/>
          <w:szCs w:val="24"/>
          <w:lang w:val="es-ES_tradnl"/>
        </w:rPr>
        <w:t xml:space="preserve">metiéndose entre sí, confusa y </w:t>
      </w:r>
      <w:r w:rsidRPr="009B7304">
        <w:rPr>
          <w:rFonts w:ascii="MS Reference Sans Serif" w:hAnsi="MS Reference Sans Serif"/>
          <w:sz w:val="24"/>
          <w:szCs w:val="24"/>
          <w:lang w:val="es-ES_tradnl"/>
        </w:rPr>
        <w:t>tumultuariamente, hubiere resultado muerte de una o más personas y no constare su autor, pero sí los que hubieren causado lesiones graves, se impondrá a éstos prisión de seis a doce años. No constando quién o quiénes causaron las lesiones, se impondrá a todos los partícipes prisión de dos a seis años</w:t>
      </w:r>
      <w:r>
        <w:rPr>
          <w:rFonts w:ascii="MS Reference Sans Serif" w:hAnsi="MS Reference Sans Serif"/>
          <w:sz w:val="24"/>
          <w:szCs w:val="24"/>
          <w:lang w:val="es-ES_tradnl"/>
        </w:rPr>
        <w:t>.”</w:t>
      </w:r>
    </w:p>
    <w:p w:rsidR="00AB544B" w:rsidRDefault="00A8276E" w:rsidP="001D26AD">
      <w:pPr>
        <w:spacing w:line="360" w:lineRule="auto"/>
        <w:jc w:val="both"/>
        <w:rPr>
          <w:rFonts w:ascii="MS Reference Sans Serif" w:hAnsi="MS Reference Sans Serif"/>
          <w:sz w:val="24"/>
          <w:szCs w:val="24"/>
          <w:lang w:val="es-ES_tradnl"/>
        </w:rPr>
      </w:pPr>
      <w:r>
        <w:rPr>
          <w:rFonts w:ascii="MS Reference Sans Serif" w:hAnsi="MS Reference Sans Serif"/>
          <w:sz w:val="24"/>
          <w:szCs w:val="24"/>
          <w:lang w:val="es-ES_tradnl"/>
        </w:rPr>
        <w:t xml:space="preserve"> </w:t>
      </w:r>
    </w:p>
    <w:p w:rsidR="00FF0FB5" w:rsidRDefault="00FF0FB5" w:rsidP="001D26AD">
      <w:pPr>
        <w:spacing w:line="360" w:lineRule="auto"/>
        <w:jc w:val="both"/>
        <w:rPr>
          <w:rFonts w:ascii="MS Reference Sans Serif" w:hAnsi="MS Reference Sans Serif"/>
          <w:sz w:val="24"/>
          <w:szCs w:val="24"/>
          <w:lang w:val="es-ES_tradnl"/>
        </w:rPr>
      </w:pPr>
      <w:r>
        <w:rPr>
          <w:rFonts w:ascii="MS Reference Sans Serif" w:hAnsi="MS Reference Sans Serif"/>
          <w:sz w:val="24"/>
          <w:szCs w:val="24"/>
          <w:lang w:val="es-ES_tradnl"/>
        </w:rPr>
        <w:lastRenderedPageBreak/>
        <w:t>Los homicidios por riña tumultuaria</w:t>
      </w:r>
      <w:r w:rsidR="000276B4">
        <w:rPr>
          <w:rFonts w:ascii="MS Reference Sans Serif" w:hAnsi="MS Reference Sans Serif"/>
          <w:sz w:val="24"/>
          <w:szCs w:val="24"/>
          <w:lang w:val="es-ES_tradnl"/>
        </w:rPr>
        <w:t xml:space="preserve"> –linchamientos-</w:t>
      </w:r>
      <w:r>
        <w:rPr>
          <w:rFonts w:ascii="MS Reference Sans Serif" w:hAnsi="MS Reference Sans Serif"/>
          <w:sz w:val="24"/>
          <w:szCs w:val="24"/>
          <w:lang w:val="es-ES_tradnl"/>
        </w:rPr>
        <w:t xml:space="preserve"> descendieron un 30 por ciento en el año 2012 (</w:t>
      </w:r>
      <w:r w:rsidRPr="003855E5">
        <w:rPr>
          <w:rFonts w:ascii="MS Reference Sans Serif" w:hAnsi="MS Reference Sans Serif"/>
          <w:b/>
          <w:color w:val="7F7F7F" w:themeColor="text1" w:themeTint="80"/>
          <w:lang w:val="es-ES_tradnl"/>
        </w:rPr>
        <w:t>Ver Tabla 3</w:t>
      </w:r>
      <w:r>
        <w:rPr>
          <w:rFonts w:ascii="MS Reference Sans Serif" w:hAnsi="MS Reference Sans Serif"/>
          <w:sz w:val="24"/>
          <w:szCs w:val="24"/>
          <w:lang w:val="es-ES_tradnl"/>
        </w:rPr>
        <w:t xml:space="preserve">). </w:t>
      </w:r>
    </w:p>
    <w:p w:rsidR="00DF2FDD" w:rsidRDefault="00FF0FB5" w:rsidP="001D26AD">
      <w:pPr>
        <w:spacing w:line="360" w:lineRule="auto"/>
        <w:jc w:val="both"/>
        <w:rPr>
          <w:rFonts w:ascii="MS Reference Sans Serif" w:hAnsi="MS Reference Sans Serif"/>
          <w:sz w:val="24"/>
          <w:szCs w:val="24"/>
          <w:lang w:val="es-ES_tradnl"/>
        </w:rPr>
      </w:pPr>
      <w:r>
        <w:rPr>
          <w:rFonts w:ascii="MS Reference Sans Serif" w:hAnsi="MS Reference Sans Serif"/>
          <w:sz w:val="24"/>
          <w:szCs w:val="24"/>
          <w:lang w:val="es-ES_tradnl"/>
        </w:rPr>
        <w:t xml:space="preserve"> </w:t>
      </w:r>
    </w:p>
    <w:p w:rsidR="00DF2FDD" w:rsidRPr="00DF2FDD" w:rsidRDefault="00DF2FDD" w:rsidP="001D26AD">
      <w:pPr>
        <w:spacing w:line="360" w:lineRule="auto"/>
        <w:jc w:val="center"/>
        <w:rPr>
          <w:rFonts w:ascii="MS Reference Sans Serif" w:hAnsi="MS Reference Sans Serif"/>
          <w:b/>
          <w:color w:val="7F7F7F" w:themeColor="text1" w:themeTint="80"/>
          <w:sz w:val="24"/>
          <w:szCs w:val="24"/>
          <w:lang w:val="es-ES_tradnl"/>
        </w:rPr>
      </w:pPr>
      <w:r w:rsidRPr="00DF2FDD">
        <w:rPr>
          <w:rFonts w:ascii="MS Reference Sans Serif" w:hAnsi="MS Reference Sans Serif"/>
          <w:b/>
          <w:color w:val="7F7F7F" w:themeColor="text1" w:themeTint="80"/>
          <w:sz w:val="24"/>
          <w:szCs w:val="24"/>
          <w:lang w:val="es-ES_tradnl"/>
        </w:rPr>
        <w:t>Tabla 3:</w:t>
      </w:r>
      <w:r w:rsidR="00926DCD">
        <w:rPr>
          <w:rFonts w:ascii="MS Reference Sans Serif" w:hAnsi="MS Reference Sans Serif"/>
          <w:b/>
          <w:color w:val="7F7F7F" w:themeColor="text1" w:themeTint="80"/>
          <w:sz w:val="24"/>
          <w:szCs w:val="24"/>
          <w:lang w:val="es-ES_tradnl"/>
        </w:rPr>
        <w:t xml:space="preserve"> Homicidios en linchamientos registrados a nivel de la República</w:t>
      </w:r>
    </w:p>
    <w:p w:rsidR="00FD252A" w:rsidRDefault="00DF2FDD" w:rsidP="001D26AD">
      <w:pPr>
        <w:spacing w:line="360" w:lineRule="auto"/>
        <w:jc w:val="center"/>
        <w:rPr>
          <w:rFonts w:ascii="MS Reference Sans Serif" w:hAnsi="MS Reference Sans Serif"/>
          <w:sz w:val="24"/>
          <w:szCs w:val="24"/>
          <w:lang w:val="es-ES_tradnl"/>
        </w:rPr>
      </w:pPr>
      <w:r w:rsidRPr="00DF2FDD">
        <w:rPr>
          <w:rFonts w:ascii="MS Reference Sans Serif" w:hAnsi="MS Reference Sans Serif"/>
          <w:noProof/>
          <w:sz w:val="24"/>
          <w:szCs w:val="24"/>
          <w:lang w:eastAsia="es-ES"/>
        </w:rPr>
        <w:drawing>
          <wp:inline distT="0" distB="0" distL="0" distR="0">
            <wp:extent cx="3817089" cy="2232837"/>
            <wp:effectExtent l="0" t="0" r="0" b="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926DCD" w:rsidRDefault="00926DCD" w:rsidP="001D26AD">
      <w:pPr>
        <w:spacing w:line="360" w:lineRule="auto"/>
        <w:jc w:val="center"/>
        <w:rPr>
          <w:rFonts w:ascii="MS Reference Sans Serif" w:hAnsi="MS Reference Sans Serif"/>
          <w:b/>
          <w:lang w:val="es-ES_tradnl"/>
        </w:rPr>
      </w:pPr>
      <w:r w:rsidRPr="00926DCD">
        <w:rPr>
          <w:rFonts w:ascii="MS Reference Sans Serif" w:hAnsi="MS Reference Sans Serif"/>
          <w:b/>
          <w:lang w:val="es-ES_tradnl"/>
        </w:rPr>
        <w:t>Fuente: elaboración propia con datos del Ministerio de Gobernación</w:t>
      </w:r>
      <w:r w:rsidR="00860D10">
        <w:rPr>
          <w:rFonts w:ascii="MS Reference Sans Serif" w:hAnsi="MS Reference Sans Serif"/>
          <w:b/>
          <w:lang w:val="es-ES_tradnl"/>
        </w:rPr>
        <w:t>, 2013</w:t>
      </w:r>
    </w:p>
    <w:p w:rsidR="006E3062" w:rsidRDefault="006E3062" w:rsidP="001D26AD">
      <w:pPr>
        <w:spacing w:line="360" w:lineRule="auto"/>
        <w:jc w:val="center"/>
        <w:rPr>
          <w:rFonts w:ascii="MS Reference Sans Serif" w:hAnsi="MS Reference Sans Serif"/>
          <w:b/>
          <w:lang w:val="es-ES_tradnl"/>
        </w:rPr>
      </w:pPr>
    </w:p>
    <w:p w:rsidR="00860D10" w:rsidRDefault="0027471D" w:rsidP="001D26AD">
      <w:pPr>
        <w:spacing w:line="360" w:lineRule="auto"/>
        <w:jc w:val="both"/>
        <w:rPr>
          <w:rFonts w:ascii="MS Reference Sans Serif" w:hAnsi="MS Reference Sans Serif"/>
          <w:sz w:val="24"/>
          <w:szCs w:val="24"/>
          <w:lang w:val="es-ES_tradnl"/>
        </w:rPr>
      </w:pPr>
      <w:r>
        <w:rPr>
          <w:rFonts w:ascii="MS Reference Sans Serif" w:hAnsi="MS Reference Sans Serif"/>
          <w:sz w:val="24"/>
          <w:szCs w:val="24"/>
          <w:lang w:val="es-ES_tradnl"/>
        </w:rPr>
        <w:t>L</w:t>
      </w:r>
      <w:r w:rsidR="000276B4">
        <w:rPr>
          <w:rFonts w:ascii="MS Reference Sans Serif" w:hAnsi="MS Reference Sans Serif"/>
          <w:sz w:val="24"/>
          <w:szCs w:val="24"/>
          <w:lang w:val="es-ES_tradnl"/>
        </w:rPr>
        <w:t>os lesionados por el mismo delito –linchamientos-</w:t>
      </w:r>
      <w:r w:rsidR="007A4AA1">
        <w:rPr>
          <w:rFonts w:ascii="MS Reference Sans Serif" w:hAnsi="MS Reference Sans Serif"/>
          <w:sz w:val="24"/>
          <w:szCs w:val="24"/>
          <w:lang w:val="es-ES_tradnl"/>
        </w:rPr>
        <w:t xml:space="preserve"> incrementaron un 33</w:t>
      </w:r>
      <w:r>
        <w:rPr>
          <w:rFonts w:ascii="MS Reference Sans Serif" w:hAnsi="MS Reference Sans Serif"/>
          <w:sz w:val="24"/>
          <w:szCs w:val="24"/>
          <w:lang w:val="es-ES_tradnl"/>
        </w:rPr>
        <w:t xml:space="preserve"> por ciento en el último año</w:t>
      </w:r>
      <w:r w:rsidR="003855E5">
        <w:rPr>
          <w:rFonts w:ascii="MS Reference Sans Serif" w:hAnsi="MS Reference Sans Serif"/>
          <w:sz w:val="24"/>
          <w:szCs w:val="24"/>
          <w:lang w:val="es-ES_tradnl"/>
        </w:rPr>
        <w:t xml:space="preserve"> (</w:t>
      </w:r>
      <w:r w:rsidR="003855E5" w:rsidRPr="003855E5">
        <w:rPr>
          <w:rFonts w:ascii="MS Reference Sans Serif" w:hAnsi="MS Reference Sans Serif"/>
          <w:b/>
          <w:color w:val="7F7F7F" w:themeColor="text1" w:themeTint="80"/>
          <w:lang w:val="es-ES_tradnl"/>
        </w:rPr>
        <w:t>Ver tabla 4</w:t>
      </w:r>
      <w:r w:rsidR="003855E5">
        <w:rPr>
          <w:rFonts w:ascii="MS Reference Sans Serif" w:hAnsi="MS Reference Sans Serif"/>
          <w:sz w:val="24"/>
          <w:szCs w:val="24"/>
          <w:lang w:val="es-ES_tradnl"/>
        </w:rPr>
        <w:t>)</w:t>
      </w:r>
      <w:r>
        <w:rPr>
          <w:rFonts w:ascii="MS Reference Sans Serif" w:hAnsi="MS Reference Sans Serif"/>
          <w:sz w:val="24"/>
          <w:szCs w:val="24"/>
          <w:lang w:val="es-ES_tradnl"/>
        </w:rPr>
        <w:t xml:space="preserve">. </w:t>
      </w:r>
    </w:p>
    <w:p w:rsidR="000276B4" w:rsidRDefault="000276B4" w:rsidP="001D26AD">
      <w:pPr>
        <w:spacing w:line="360" w:lineRule="auto"/>
        <w:jc w:val="both"/>
        <w:rPr>
          <w:rFonts w:ascii="MS Reference Sans Serif" w:hAnsi="MS Reference Sans Serif"/>
          <w:sz w:val="24"/>
          <w:szCs w:val="24"/>
          <w:lang w:val="es-ES_tradnl"/>
        </w:rPr>
      </w:pPr>
    </w:p>
    <w:p w:rsidR="00860D10" w:rsidRPr="00DF2FDD" w:rsidRDefault="00860D10" w:rsidP="001D26AD">
      <w:pPr>
        <w:spacing w:line="360" w:lineRule="auto"/>
        <w:jc w:val="center"/>
        <w:rPr>
          <w:rFonts w:ascii="MS Reference Sans Serif" w:hAnsi="MS Reference Sans Serif"/>
          <w:b/>
          <w:color w:val="7F7F7F" w:themeColor="text1" w:themeTint="80"/>
          <w:sz w:val="24"/>
          <w:szCs w:val="24"/>
          <w:lang w:val="es-ES_tradnl"/>
        </w:rPr>
      </w:pPr>
      <w:r>
        <w:rPr>
          <w:rFonts w:ascii="MS Reference Sans Serif" w:hAnsi="MS Reference Sans Serif"/>
          <w:b/>
          <w:color w:val="7F7F7F" w:themeColor="text1" w:themeTint="80"/>
          <w:sz w:val="24"/>
          <w:szCs w:val="24"/>
          <w:lang w:val="es-ES_tradnl"/>
        </w:rPr>
        <w:t>Tabla 4</w:t>
      </w:r>
      <w:r w:rsidRPr="00DF2FDD">
        <w:rPr>
          <w:rFonts w:ascii="MS Reference Sans Serif" w:hAnsi="MS Reference Sans Serif"/>
          <w:b/>
          <w:color w:val="7F7F7F" w:themeColor="text1" w:themeTint="80"/>
          <w:sz w:val="24"/>
          <w:szCs w:val="24"/>
          <w:lang w:val="es-ES_tradnl"/>
        </w:rPr>
        <w:t>:</w:t>
      </w:r>
      <w:r>
        <w:rPr>
          <w:rFonts w:ascii="MS Reference Sans Serif" w:hAnsi="MS Reference Sans Serif"/>
          <w:b/>
          <w:color w:val="7F7F7F" w:themeColor="text1" w:themeTint="80"/>
          <w:sz w:val="24"/>
          <w:szCs w:val="24"/>
          <w:lang w:val="es-ES_tradnl"/>
        </w:rPr>
        <w:t xml:space="preserve"> Lesionados en linchamientos registrados a nivel de la República</w:t>
      </w:r>
    </w:p>
    <w:p w:rsidR="00860D10" w:rsidRDefault="00860D10" w:rsidP="001D26AD">
      <w:pPr>
        <w:spacing w:line="360" w:lineRule="auto"/>
        <w:jc w:val="both"/>
        <w:rPr>
          <w:rFonts w:ascii="MS Reference Sans Serif" w:hAnsi="MS Reference Sans Serif"/>
          <w:sz w:val="24"/>
          <w:szCs w:val="24"/>
          <w:lang w:val="es-ES_tradnl"/>
        </w:rPr>
      </w:pPr>
    </w:p>
    <w:p w:rsidR="006E3062" w:rsidRDefault="006E3062" w:rsidP="001D26AD">
      <w:pPr>
        <w:spacing w:line="360" w:lineRule="auto"/>
        <w:jc w:val="center"/>
        <w:rPr>
          <w:rFonts w:ascii="MS Reference Sans Serif" w:hAnsi="MS Reference Sans Serif"/>
          <w:sz w:val="24"/>
          <w:szCs w:val="24"/>
          <w:lang w:val="es-ES_tradnl"/>
        </w:rPr>
      </w:pPr>
      <w:r w:rsidRPr="006E3062">
        <w:rPr>
          <w:rFonts w:ascii="MS Reference Sans Serif" w:hAnsi="MS Reference Sans Serif"/>
          <w:noProof/>
          <w:sz w:val="24"/>
          <w:szCs w:val="24"/>
          <w:lang w:eastAsia="es-ES"/>
        </w:rPr>
        <w:drawing>
          <wp:inline distT="0" distB="0" distL="0" distR="0">
            <wp:extent cx="3965944" cy="2381693"/>
            <wp:effectExtent l="0" t="0" r="0" b="0"/>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860D10" w:rsidRDefault="00860D10" w:rsidP="001D26AD">
      <w:pPr>
        <w:spacing w:line="360" w:lineRule="auto"/>
        <w:jc w:val="center"/>
        <w:rPr>
          <w:rFonts w:ascii="MS Reference Sans Serif" w:hAnsi="MS Reference Sans Serif"/>
          <w:b/>
          <w:lang w:val="es-ES_tradnl"/>
        </w:rPr>
      </w:pPr>
      <w:r w:rsidRPr="00926DCD">
        <w:rPr>
          <w:rFonts w:ascii="MS Reference Sans Serif" w:hAnsi="MS Reference Sans Serif"/>
          <w:b/>
          <w:lang w:val="es-ES_tradnl"/>
        </w:rPr>
        <w:t>Fuente: elaboración propia con datos del Ministerio de Gobernación</w:t>
      </w:r>
      <w:r>
        <w:rPr>
          <w:rFonts w:ascii="MS Reference Sans Serif" w:hAnsi="MS Reference Sans Serif"/>
          <w:b/>
          <w:lang w:val="es-ES_tradnl"/>
        </w:rPr>
        <w:t>, 2013</w:t>
      </w:r>
    </w:p>
    <w:p w:rsidR="00C82BA0" w:rsidRDefault="00C82BA0" w:rsidP="001D26AD">
      <w:pPr>
        <w:spacing w:line="360" w:lineRule="auto"/>
        <w:jc w:val="both"/>
        <w:rPr>
          <w:rFonts w:ascii="MS Reference Sans Serif" w:hAnsi="MS Reference Sans Serif"/>
          <w:sz w:val="24"/>
          <w:szCs w:val="24"/>
          <w:lang w:val="es-ES_tradnl"/>
        </w:rPr>
      </w:pPr>
      <w:r w:rsidRPr="00913DB8">
        <w:rPr>
          <w:rFonts w:ascii="MS Reference Sans Serif" w:hAnsi="MS Reference Sans Serif"/>
          <w:sz w:val="24"/>
          <w:szCs w:val="24"/>
          <w:lang w:val="es-ES_tradnl"/>
        </w:rPr>
        <w:lastRenderedPageBreak/>
        <w:t>El Informe Anual circunstanciado 2012 de la</w:t>
      </w:r>
      <w:r w:rsidR="00F47DD5">
        <w:rPr>
          <w:rFonts w:ascii="MS Reference Sans Serif" w:hAnsi="MS Reference Sans Serif"/>
          <w:sz w:val="24"/>
          <w:szCs w:val="24"/>
          <w:lang w:val="es-ES_tradnl"/>
        </w:rPr>
        <w:t xml:space="preserve"> PDH registró</w:t>
      </w:r>
      <w:r w:rsidRPr="00913DB8">
        <w:rPr>
          <w:rFonts w:ascii="MS Reference Sans Serif" w:hAnsi="MS Reference Sans Serif"/>
          <w:sz w:val="24"/>
          <w:szCs w:val="24"/>
          <w:lang w:val="es-ES_tradnl"/>
        </w:rPr>
        <w:t xml:space="preserve"> 188 retenciones ilegales –en el lapso de enero a noviembre del 2012-, con un saldo de 239 personas heridas </w:t>
      </w:r>
      <w:r>
        <w:rPr>
          <w:rFonts w:ascii="MS Reference Sans Serif" w:hAnsi="MS Reference Sans Serif"/>
          <w:sz w:val="24"/>
          <w:szCs w:val="24"/>
          <w:lang w:val="es-ES_tradnl"/>
        </w:rPr>
        <w:t>y 16 fallecidas –</w:t>
      </w:r>
      <w:r w:rsidR="00197AB0">
        <w:rPr>
          <w:rFonts w:ascii="MS Reference Sans Serif" w:hAnsi="MS Reference Sans Serif"/>
          <w:sz w:val="24"/>
          <w:szCs w:val="24"/>
          <w:lang w:val="es-ES_tradnl"/>
        </w:rPr>
        <w:t>3 más que el MINGOB</w:t>
      </w:r>
      <w:r>
        <w:rPr>
          <w:rFonts w:ascii="MS Reference Sans Serif" w:hAnsi="MS Reference Sans Serif"/>
          <w:sz w:val="24"/>
          <w:szCs w:val="24"/>
          <w:lang w:val="es-ES_tradnl"/>
        </w:rPr>
        <w:t xml:space="preserve">- por violencia tumultuaria. </w:t>
      </w:r>
    </w:p>
    <w:p w:rsidR="00C82BA0" w:rsidRDefault="00C82BA0" w:rsidP="001D26AD">
      <w:pPr>
        <w:spacing w:line="360" w:lineRule="auto"/>
        <w:jc w:val="both"/>
        <w:rPr>
          <w:rFonts w:ascii="MS Reference Sans Serif" w:hAnsi="MS Reference Sans Serif"/>
          <w:sz w:val="24"/>
          <w:szCs w:val="24"/>
          <w:lang w:val="es-ES_tradnl"/>
        </w:rPr>
      </w:pPr>
    </w:p>
    <w:p w:rsidR="00197AB0" w:rsidRDefault="00913DB8" w:rsidP="001D26AD">
      <w:pPr>
        <w:spacing w:line="360" w:lineRule="auto"/>
        <w:jc w:val="both"/>
        <w:rPr>
          <w:rFonts w:ascii="MS Reference Sans Serif" w:hAnsi="MS Reference Sans Serif"/>
          <w:sz w:val="24"/>
          <w:szCs w:val="24"/>
          <w:lang w:val="es-ES_tradnl"/>
        </w:rPr>
      </w:pPr>
      <w:r w:rsidRPr="00913DB8">
        <w:rPr>
          <w:rFonts w:ascii="MS Reference Sans Serif" w:hAnsi="MS Reference Sans Serif"/>
          <w:sz w:val="24"/>
          <w:szCs w:val="24"/>
          <w:lang w:val="es-ES_tradnl"/>
        </w:rPr>
        <w:t>El Grupo de Apoyo Mutuo (GAM) reportó que los linchamientos se incrementaron en 38.46 por ciento durante el período de enero a mayo de 2013 con respecto al mismo periodo de 2012.</w:t>
      </w:r>
      <w:r w:rsidR="0027471D">
        <w:rPr>
          <w:rFonts w:ascii="MS Reference Sans Serif" w:hAnsi="MS Reference Sans Serif"/>
          <w:sz w:val="24"/>
          <w:szCs w:val="24"/>
          <w:lang w:val="es-ES_tradnl"/>
        </w:rPr>
        <w:t xml:space="preserve"> </w:t>
      </w:r>
      <w:r w:rsidRPr="00913DB8">
        <w:rPr>
          <w:rFonts w:ascii="MS Reference Sans Serif" w:hAnsi="MS Reference Sans Serif"/>
          <w:sz w:val="24"/>
          <w:szCs w:val="24"/>
          <w:lang w:val="es-ES_tradnl"/>
        </w:rPr>
        <w:t xml:space="preserve">En dicho lapso de este año se registraron 90 casos de linchamientos, en tanto que en el mismo lapso del año pasado ocurrieron 65, o sea 25 casos más. </w:t>
      </w:r>
    </w:p>
    <w:p w:rsidR="00002494" w:rsidRDefault="00002494" w:rsidP="001D26AD">
      <w:pPr>
        <w:spacing w:line="360" w:lineRule="auto"/>
        <w:jc w:val="both"/>
        <w:rPr>
          <w:rFonts w:ascii="MS Reference Sans Serif" w:hAnsi="MS Reference Sans Serif"/>
          <w:sz w:val="24"/>
          <w:szCs w:val="24"/>
          <w:lang w:val="es-ES_tradnl"/>
        </w:rPr>
      </w:pPr>
    </w:p>
    <w:p w:rsidR="00826428" w:rsidRDefault="007A4AA1" w:rsidP="001D26AD">
      <w:pPr>
        <w:spacing w:line="360" w:lineRule="auto"/>
        <w:jc w:val="both"/>
        <w:rPr>
          <w:rFonts w:ascii="MS Reference Sans Serif" w:hAnsi="MS Reference Sans Serif"/>
          <w:sz w:val="24"/>
          <w:szCs w:val="24"/>
          <w:lang w:val="es-ES_tradnl"/>
        </w:rPr>
      </w:pPr>
      <w:r>
        <w:rPr>
          <w:rFonts w:ascii="MS Reference Sans Serif" w:hAnsi="MS Reference Sans Serif"/>
          <w:sz w:val="24"/>
          <w:szCs w:val="24"/>
          <w:lang w:val="es-ES_tradnl"/>
        </w:rPr>
        <w:t>Si se reúnen los datos que registraron l</w:t>
      </w:r>
      <w:r w:rsidR="00826428">
        <w:rPr>
          <w:rFonts w:ascii="MS Reference Sans Serif" w:hAnsi="MS Reference Sans Serif"/>
          <w:sz w:val="24"/>
          <w:szCs w:val="24"/>
          <w:lang w:val="es-ES_tradnl"/>
        </w:rPr>
        <w:t>as tres organizaciones –MINGOB, PDH, GAM-</w:t>
      </w:r>
      <w:r>
        <w:rPr>
          <w:rFonts w:ascii="MS Reference Sans Serif" w:hAnsi="MS Reference Sans Serif"/>
          <w:sz w:val="24"/>
          <w:szCs w:val="24"/>
          <w:lang w:val="es-ES_tradnl"/>
        </w:rPr>
        <w:t xml:space="preserve"> en el último año</w:t>
      </w:r>
      <w:r w:rsidR="00826428">
        <w:rPr>
          <w:rFonts w:ascii="MS Reference Sans Serif" w:hAnsi="MS Reference Sans Serif"/>
          <w:sz w:val="24"/>
          <w:szCs w:val="24"/>
          <w:lang w:val="es-ES_tradnl"/>
        </w:rPr>
        <w:t xml:space="preserve"> </w:t>
      </w:r>
      <w:r>
        <w:rPr>
          <w:rFonts w:ascii="MS Reference Sans Serif" w:hAnsi="MS Reference Sans Serif"/>
          <w:sz w:val="24"/>
          <w:szCs w:val="24"/>
          <w:lang w:val="es-ES_tradnl"/>
        </w:rPr>
        <w:t>existe una diferencia</w:t>
      </w:r>
      <w:r w:rsidR="003855E5">
        <w:rPr>
          <w:rFonts w:ascii="MS Reference Sans Serif" w:hAnsi="MS Reference Sans Serif"/>
          <w:sz w:val="24"/>
          <w:szCs w:val="24"/>
          <w:lang w:val="es-ES_tradnl"/>
        </w:rPr>
        <w:t xml:space="preserve"> (</w:t>
      </w:r>
      <w:r w:rsidR="003855E5" w:rsidRPr="003855E5">
        <w:rPr>
          <w:rFonts w:ascii="MS Reference Sans Serif" w:hAnsi="MS Reference Sans Serif"/>
          <w:b/>
          <w:color w:val="7F7F7F" w:themeColor="text1" w:themeTint="80"/>
          <w:lang w:val="es-ES_tradnl"/>
        </w:rPr>
        <w:t>Ver tabla 5</w:t>
      </w:r>
      <w:r w:rsidR="003855E5">
        <w:rPr>
          <w:rFonts w:ascii="MS Reference Sans Serif" w:hAnsi="MS Reference Sans Serif"/>
          <w:sz w:val="24"/>
          <w:szCs w:val="24"/>
          <w:lang w:val="es-ES_tradnl"/>
        </w:rPr>
        <w:t>)</w:t>
      </w:r>
      <w:r w:rsidR="00826428">
        <w:rPr>
          <w:rFonts w:ascii="MS Reference Sans Serif" w:hAnsi="MS Reference Sans Serif"/>
          <w:sz w:val="24"/>
          <w:szCs w:val="24"/>
          <w:lang w:val="es-ES_tradnl"/>
        </w:rPr>
        <w:t xml:space="preserve"> en</w:t>
      </w:r>
      <w:r>
        <w:rPr>
          <w:rFonts w:ascii="MS Reference Sans Serif" w:hAnsi="MS Reference Sans Serif"/>
          <w:sz w:val="24"/>
          <w:szCs w:val="24"/>
          <w:lang w:val="es-ES_tradnl"/>
        </w:rPr>
        <w:t>tre</w:t>
      </w:r>
      <w:r w:rsidR="00826428">
        <w:rPr>
          <w:rFonts w:ascii="MS Reference Sans Serif" w:hAnsi="MS Reference Sans Serif"/>
          <w:sz w:val="24"/>
          <w:szCs w:val="24"/>
          <w:lang w:val="es-ES_tradnl"/>
        </w:rPr>
        <w:t xml:space="preserve"> el registro de los homicidios y los lesionados</w:t>
      </w:r>
      <w:r>
        <w:rPr>
          <w:rFonts w:ascii="MS Reference Sans Serif" w:hAnsi="MS Reference Sans Serif"/>
          <w:sz w:val="24"/>
          <w:szCs w:val="24"/>
          <w:lang w:val="es-ES_tradnl"/>
        </w:rPr>
        <w:t xml:space="preserve"> que realiza cada una</w:t>
      </w:r>
      <w:r w:rsidR="00826428">
        <w:rPr>
          <w:rFonts w:ascii="MS Reference Sans Serif" w:hAnsi="MS Reference Sans Serif"/>
          <w:sz w:val="24"/>
          <w:szCs w:val="24"/>
          <w:lang w:val="es-ES_tradnl"/>
        </w:rPr>
        <w:t xml:space="preserve">. </w:t>
      </w:r>
      <w:r>
        <w:rPr>
          <w:rFonts w:ascii="MS Reference Sans Serif" w:hAnsi="MS Reference Sans Serif"/>
          <w:sz w:val="24"/>
          <w:szCs w:val="24"/>
          <w:lang w:val="es-ES_tradnl"/>
        </w:rPr>
        <w:t>La diferencia entre la PDH y el MINGOB es de un 83 por ciento.</w:t>
      </w:r>
    </w:p>
    <w:p w:rsidR="00197AB0" w:rsidRDefault="00197AB0" w:rsidP="001D26AD">
      <w:pPr>
        <w:spacing w:line="360" w:lineRule="auto"/>
        <w:jc w:val="both"/>
        <w:rPr>
          <w:rFonts w:ascii="MS Reference Sans Serif" w:hAnsi="MS Reference Sans Serif"/>
          <w:sz w:val="24"/>
          <w:szCs w:val="24"/>
          <w:lang w:val="es-ES_tradnl"/>
        </w:rPr>
      </w:pPr>
    </w:p>
    <w:p w:rsidR="003855E5" w:rsidRPr="003855E5" w:rsidRDefault="003855E5" w:rsidP="003855E5">
      <w:pPr>
        <w:spacing w:line="360" w:lineRule="auto"/>
        <w:jc w:val="center"/>
        <w:rPr>
          <w:rFonts w:ascii="MS Reference Sans Serif" w:hAnsi="MS Reference Sans Serif"/>
          <w:b/>
          <w:color w:val="7F7F7F" w:themeColor="text1" w:themeTint="80"/>
          <w:sz w:val="24"/>
          <w:szCs w:val="24"/>
          <w:lang w:val="es-ES_tradnl"/>
        </w:rPr>
      </w:pPr>
      <w:r w:rsidRPr="003855E5">
        <w:rPr>
          <w:rFonts w:ascii="MS Reference Sans Serif" w:hAnsi="MS Reference Sans Serif"/>
          <w:b/>
          <w:color w:val="7F7F7F" w:themeColor="text1" w:themeTint="80"/>
          <w:sz w:val="24"/>
          <w:szCs w:val="24"/>
          <w:lang w:val="es-ES_tradnl"/>
        </w:rPr>
        <w:t>Tabla 5:</w:t>
      </w:r>
      <w:r>
        <w:rPr>
          <w:rFonts w:ascii="MS Reference Sans Serif" w:hAnsi="MS Reference Sans Serif"/>
          <w:b/>
          <w:color w:val="7F7F7F" w:themeColor="text1" w:themeTint="80"/>
          <w:sz w:val="24"/>
          <w:szCs w:val="24"/>
          <w:lang w:val="es-ES_tradnl"/>
        </w:rPr>
        <w:t xml:space="preserve"> Registro de casos por riña tumultuaria –linchamientos- por el MINGOB, PDH y GAM en el 2012</w:t>
      </w:r>
    </w:p>
    <w:tbl>
      <w:tblPr>
        <w:tblStyle w:val="Sombreadoclaro-nfasis11"/>
        <w:tblW w:w="0" w:type="auto"/>
        <w:jc w:val="center"/>
        <w:tblLook w:val="04A0"/>
      </w:tblPr>
      <w:tblGrid>
        <w:gridCol w:w="1973"/>
        <w:gridCol w:w="1966"/>
      </w:tblGrid>
      <w:tr w:rsidR="00002494" w:rsidRPr="00002494" w:rsidTr="001D26AD">
        <w:trPr>
          <w:cnfStyle w:val="100000000000"/>
          <w:trHeight w:val="478"/>
          <w:jc w:val="center"/>
        </w:trPr>
        <w:tc>
          <w:tcPr>
            <w:cnfStyle w:val="001000000000"/>
            <w:tcW w:w="1973" w:type="dxa"/>
          </w:tcPr>
          <w:p w:rsidR="00002494" w:rsidRPr="00002494" w:rsidRDefault="00002494" w:rsidP="001D26AD">
            <w:pPr>
              <w:spacing w:line="360" w:lineRule="auto"/>
              <w:jc w:val="center"/>
              <w:rPr>
                <w:rFonts w:ascii="MS Reference Sans Serif" w:hAnsi="MS Reference Sans Serif"/>
                <w:b w:val="0"/>
                <w:sz w:val="28"/>
                <w:szCs w:val="24"/>
                <w:lang w:val="es-ES_tradnl"/>
              </w:rPr>
            </w:pPr>
            <w:r>
              <w:rPr>
                <w:rFonts w:ascii="MS Reference Sans Serif" w:hAnsi="MS Reference Sans Serif"/>
                <w:b w:val="0"/>
                <w:sz w:val="28"/>
                <w:szCs w:val="24"/>
                <w:lang w:val="es-ES_tradnl"/>
              </w:rPr>
              <w:t>Institución</w:t>
            </w:r>
          </w:p>
        </w:tc>
        <w:tc>
          <w:tcPr>
            <w:tcW w:w="1966" w:type="dxa"/>
          </w:tcPr>
          <w:p w:rsidR="00002494" w:rsidRPr="00002494" w:rsidRDefault="00826428" w:rsidP="001D26AD">
            <w:pPr>
              <w:spacing w:line="360" w:lineRule="auto"/>
              <w:jc w:val="center"/>
              <w:cnfStyle w:val="100000000000"/>
              <w:rPr>
                <w:rFonts w:ascii="MS Reference Sans Serif" w:hAnsi="MS Reference Sans Serif"/>
                <w:b w:val="0"/>
                <w:sz w:val="28"/>
                <w:szCs w:val="24"/>
                <w:lang w:val="es-ES_tradnl"/>
              </w:rPr>
            </w:pPr>
            <w:r>
              <w:rPr>
                <w:rFonts w:ascii="MS Reference Sans Serif" w:hAnsi="MS Reference Sans Serif"/>
                <w:b w:val="0"/>
                <w:sz w:val="28"/>
                <w:szCs w:val="24"/>
                <w:lang w:val="es-ES_tradnl"/>
              </w:rPr>
              <w:t xml:space="preserve">Casos </w:t>
            </w:r>
            <w:r w:rsidR="001D26AD">
              <w:rPr>
                <w:rFonts w:ascii="MS Reference Sans Serif" w:hAnsi="MS Reference Sans Serif"/>
                <w:b w:val="0"/>
                <w:sz w:val="28"/>
                <w:szCs w:val="24"/>
                <w:lang w:val="es-ES_tradnl"/>
              </w:rPr>
              <w:t xml:space="preserve">en el </w:t>
            </w:r>
            <w:r>
              <w:rPr>
                <w:rFonts w:ascii="MS Reference Sans Serif" w:hAnsi="MS Reference Sans Serif"/>
                <w:b w:val="0"/>
                <w:sz w:val="28"/>
                <w:szCs w:val="24"/>
                <w:lang w:val="es-ES_tradnl"/>
              </w:rPr>
              <w:t>2012</w:t>
            </w:r>
          </w:p>
        </w:tc>
      </w:tr>
      <w:tr w:rsidR="00002494" w:rsidTr="001D26AD">
        <w:trPr>
          <w:cnfStyle w:val="000000100000"/>
          <w:trHeight w:val="478"/>
          <w:jc w:val="center"/>
        </w:trPr>
        <w:tc>
          <w:tcPr>
            <w:cnfStyle w:val="001000000000"/>
            <w:tcW w:w="1973" w:type="dxa"/>
          </w:tcPr>
          <w:p w:rsidR="00002494" w:rsidRDefault="00002494" w:rsidP="001D26AD">
            <w:pPr>
              <w:spacing w:line="360" w:lineRule="auto"/>
              <w:jc w:val="center"/>
              <w:rPr>
                <w:rFonts w:ascii="MS Reference Sans Serif" w:hAnsi="MS Reference Sans Serif"/>
                <w:sz w:val="24"/>
                <w:szCs w:val="24"/>
                <w:lang w:val="es-ES_tradnl"/>
              </w:rPr>
            </w:pPr>
            <w:r>
              <w:rPr>
                <w:rFonts w:ascii="MS Reference Sans Serif" w:hAnsi="MS Reference Sans Serif"/>
                <w:sz w:val="24"/>
                <w:szCs w:val="24"/>
                <w:lang w:val="es-ES_tradnl"/>
              </w:rPr>
              <w:t>MINGOB</w:t>
            </w:r>
          </w:p>
        </w:tc>
        <w:tc>
          <w:tcPr>
            <w:tcW w:w="1966" w:type="dxa"/>
          </w:tcPr>
          <w:p w:rsidR="00002494" w:rsidRDefault="00002494" w:rsidP="001D26AD">
            <w:pPr>
              <w:spacing w:line="360" w:lineRule="auto"/>
              <w:jc w:val="center"/>
              <w:cnfStyle w:val="000000100000"/>
              <w:rPr>
                <w:rFonts w:ascii="MS Reference Sans Serif" w:hAnsi="MS Reference Sans Serif"/>
                <w:sz w:val="24"/>
                <w:szCs w:val="24"/>
                <w:lang w:val="es-ES_tradnl"/>
              </w:rPr>
            </w:pPr>
            <w:r>
              <w:rPr>
                <w:rFonts w:ascii="MS Reference Sans Serif" w:hAnsi="MS Reference Sans Serif"/>
                <w:sz w:val="24"/>
                <w:szCs w:val="24"/>
                <w:lang w:val="es-ES_tradnl"/>
              </w:rPr>
              <w:t>44</w:t>
            </w:r>
          </w:p>
        </w:tc>
      </w:tr>
      <w:tr w:rsidR="00002494" w:rsidTr="001D26AD">
        <w:trPr>
          <w:trHeight w:val="478"/>
          <w:jc w:val="center"/>
        </w:trPr>
        <w:tc>
          <w:tcPr>
            <w:cnfStyle w:val="001000000000"/>
            <w:tcW w:w="1973" w:type="dxa"/>
          </w:tcPr>
          <w:p w:rsidR="00002494" w:rsidRDefault="00002494" w:rsidP="001D26AD">
            <w:pPr>
              <w:spacing w:line="360" w:lineRule="auto"/>
              <w:jc w:val="center"/>
              <w:rPr>
                <w:rFonts w:ascii="MS Reference Sans Serif" w:hAnsi="MS Reference Sans Serif"/>
                <w:sz w:val="24"/>
                <w:szCs w:val="24"/>
                <w:lang w:val="es-ES_tradnl"/>
              </w:rPr>
            </w:pPr>
            <w:r>
              <w:rPr>
                <w:rFonts w:ascii="MS Reference Sans Serif" w:hAnsi="MS Reference Sans Serif"/>
                <w:sz w:val="24"/>
                <w:szCs w:val="24"/>
                <w:lang w:val="es-ES_tradnl"/>
              </w:rPr>
              <w:t>PDH</w:t>
            </w:r>
          </w:p>
        </w:tc>
        <w:tc>
          <w:tcPr>
            <w:tcW w:w="1966" w:type="dxa"/>
          </w:tcPr>
          <w:p w:rsidR="00002494" w:rsidRDefault="00826428" w:rsidP="001D26AD">
            <w:pPr>
              <w:spacing w:line="360" w:lineRule="auto"/>
              <w:jc w:val="center"/>
              <w:cnfStyle w:val="000000000000"/>
              <w:rPr>
                <w:rFonts w:ascii="MS Reference Sans Serif" w:hAnsi="MS Reference Sans Serif"/>
                <w:sz w:val="24"/>
                <w:szCs w:val="24"/>
                <w:lang w:val="es-ES_tradnl"/>
              </w:rPr>
            </w:pPr>
            <w:r>
              <w:rPr>
                <w:rFonts w:ascii="MS Reference Sans Serif" w:hAnsi="MS Reference Sans Serif"/>
                <w:sz w:val="24"/>
                <w:szCs w:val="24"/>
                <w:lang w:val="es-ES_tradnl"/>
              </w:rPr>
              <w:t>255</w:t>
            </w:r>
          </w:p>
        </w:tc>
      </w:tr>
      <w:tr w:rsidR="00002494" w:rsidTr="001D26AD">
        <w:trPr>
          <w:cnfStyle w:val="000000100000"/>
          <w:trHeight w:val="505"/>
          <w:jc w:val="center"/>
        </w:trPr>
        <w:tc>
          <w:tcPr>
            <w:cnfStyle w:val="001000000000"/>
            <w:tcW w:w="1973" w:type="dxa"/>
          </w:tcPr>
          <w:p w:rsidR="00002494" w:rsidRDefault="00002494" w:rsidP="001D26AD">
            <w:pPr>
              <w:spacing w:line="360" w:lineRule="auto"/>
              <w:jc w:val="center"/>
              <w:rPr>
                <w:rFonts w:ascii="MS Reference Sans Serif" w:hAnsi="MS Reference Sans Serif"/>
                <w:sz w:val="24"/>
                <w:szCs w:val="24"/>
                <w:lang w:val="es-ES_tradnl"/>
              </w:rPr>
            </w:pPr>
            <w:r>
              <w:rPr>
                <w:rFonts w:ascii="MS Reference Sans Serif" w:hAnsi="MS Reference Sans Serif"/>
                <w:sz w:val="24"/>
                <w:szCs w:val="24"/>
                <w:lang w:val="es-ES_tradnl"/>
              </w:rPr>
              <w:t>GAM</w:t>
            </w:r>
          </w:p>
        </w:tc>
        <w:tc>
          <w:tcPr>
            <w:tcW w:w="1966" w:type="dxa"/>
          </w:tcPr>
          <w:p w:rsidR="00002494" w:rsidRDefault="00826428" w:rsidP="001D26AD">
            <w:pPr>
              <w:spacing w:line="360" w:lineRule="auto"/>
              <w:jc w:val="center"/>
              <w:cnfStyle w:val="000000100000"/>
              <w:rPr>
                <w:rFonts w:ascii="MS Reference Sans Serif" w:hAnsi="MS Reference Sans Serif"/>
                <w:sz w:val="24"/>
                <w:szCs w:val="24"/>
                <w:lang w:val="es-ES_tradnl"/>
              </w:rPr>
            </w:pPr>
            <w:r>
              <w:rPr>
                <w:rFonts w:ascii="MS Reference Sans Serif" w:hAnsi="MS Reference Sans Serif"/>
                <w:sz w:val="24"/>
                <w:szCs w:val="24"/>
                <w:lang w:val="es-ES_tradnl"/>
              </w:rPr>
              <w:t>65*</w:t>
            </w:r>
          </w:p>
        </w:tc>
      </w:tr>
    </w:tbl>
    <w:p w:rsidR="00197AB0" w:rsidRDefault="00826428" w:rsidP="001D26AD">
      <w:pPr>
        <w:spacing w:line="360" w:lineRule="auto"/>
        <w:jc w:val="center"/>
        <w:rPr>
          <w:rFonts w:ascii="MS Reference Sans Serif" w:hAnsi="MS Reference Sans Serif"/>
          <w:sz w:val="18"/>
          <w:szCs w:val="18"/>
          <w:lang w:val="es-ES_tradnl"/>
        </w:rPr>
      </w:pPr>
      <w:r w:rsidRPr="00826428">
        <w:rPr>
          <w:rFonts w:ascii="MS Reference Sans Serif" w:hAnsi="MS Reference Sans Serif"/>
          <w:sz w:val="18"/>
          <w:szCs w:val="18"/>
          <w:lang w:val="es-ES_tradnl"/>
        </w:rPr>
        <w:t>*de enero a mayo</w:t>
      </w:r>
    </w:p>
    <w:p w:rsidR="00826428" w:rsidRDefault="00826428" w:rsidP="001D26AD">
      <w:pPr>
        <w:spacing w:line="360" w:lineRule="auto"/>
        <w:jc w:val="center"/>
        <w:rPr>
          <w:rFonts w:ascii="MS Reference Sans Serif" w:hAnsi="MS Reference Sans Serif"/>
          <w:b/>
          <w:lang w:val="es-ES_tradnl"/>
        </w:rPr>
      </w:pPr>
      <w:r w:rsidRPr="00826428">
        <w:rPr>
          <w:rFonts w:ascii="MS Reference Sans Serif" w:hAnsi="MS Reference Sans Serif"/>
          <w:b/>
          <w:lang w:val="es-ES_tradnl"/>
        </w:rPr>
        <w:t>Fuente: Elaboración propia con datos del MINGOB, PDH y GAM, 2013</w:t>
      </w:r>
    </w:p>
    <w:p w:rsidR="005C4477" w:rsidRDefault="005C4477" w:rsidP="001D26AD">
      <w:pPr>
        <w:spacing w:line="360" w:lineRule="auto"/>
        <w:jc w:val="center"/>
        <w:rPr>
          <w:rFonts w:ascii="MS Reference Sans Serif" w:hAnsi="MS Reference Sans Serif"/>
          <w:b/>
          <w:lang w:val="es-ES_tradnl"/>
        </w:rPr>
      </w:pPr>
    </w:p>
    <w:p w:rsidR="007731F9" w:rsidRDefault="00B5193B" w:rsidP="001D26AD">
      <w:pPr>
        <w:spacing w:line="360" w:lineRule="auto"/>
        <w:jc w:val="both"/>
        <w:rPr>
          <w:rFonts w:ascii="MS Reference Sans Serif" w:hAnsi="MS Reference Sans Serif"/>
          <w:sz w:val="24"/>
          <w:szCs w:val="24"/>
          <w:lang w:val="es-ES_tradnl"/>
        </w:rPr>
      </w:pPr>
      <w:r>
        <w:rPr>
          <w:rFonts w:ascii="MS Reference Sans Serif" w:hAnsi="MS Reference Sans Serif"/>
          <w:sz w:val="24"/>
          <w:szCs w:val="24"/>
          <w:lang w:val="es-ES_tradnl"/>
        </w:rPr>
        <w:t>Esta diferencia</w:t>
      </w:r>
      <w:r w:rsidR="00AA392B">
        <w:rPr>
          <w:rFonts w:ascii="MS Reference Sans Serif" w:hAnsi="MS Reference Sans Serif"/>
          <w:sz w:val="24"/>
          <w:szCs w:val="24"/>
          <w:lang w:val="es-ES_tradnl"/>
        </w:rPr>
        <w:t xml:space="preserve"> d</w:t>
      </w:r>
      <w:r>
        <w:rPr>
          <w:rFonts w:ascii="MS Reference Sans Serif" w:hAnsi="MS Reference Sans Serif"/>
          <w:sz w:val="24"/>
          <w:szCs w:val="24"/>
          <w:lang w:val="es-ES_tradnl"/>
        </w:rPr>
        <w:t>el registro las violaciones por riña tumultuaria</w:t>
      </w:r>
      <w:r w:rsidR="00AA392B">
        <w:rPr>
          <w:rFonts w:ascii="MS Reference Sans Serif" w:hAnsi="MS Reference Sans Serif"/>
          <w:sz w:val="24"/>
          <w:szCs w:val="24"/>
          <w:lang w:val="es-ES_tradnl"/>
        </w:rPr>
        <w:t xml:space="preserve"> que realizan las instituciones</w:t>
      </w:r>
      <w:r w:rsidR="007731F9">
        <w:rPr>
          <w:rFonts w:ascii="MS Reference Sans Serif" w:hAnsi="MS Reference Sans Serif"/>
          <w:sz w:val="24"/>
          <w:szCs w:val="24"/>
          <w:lang w:val="es-ES_tradnl"/>
        </w:rPr>
        <w:t xml:space="preserve"> demuestra que es importante</w:t>
      </w:r>
      <w:r w:rsidR="00605367">
        <w:rPr>
          <w:rFonts w:ascii="MS Reference Sans Serif" w:hAnsi="MS Reference Sans Serif"/>
          <w:sz w:val="24"/>
          <w:szCs w:val="24"/>
          <w:lang w:val="es-ES_tradnl"/>
        </w:rPr>
        <w:t xml:space="preserve"> que se identifique</w:t>
      </w:r>
      <w:r w:rsidR="007731F9">
        <w:rPr>
          <w:rFonts w:ascii="MS Reference Sans Serif" w:hAnsi="MS Reference Sans Serif"/>
          <w:sz w:val="24"/>
          <w:szCs w:val="24"/>
          <w:lang w:val="es-ES_tradnl"/>
        </w:rPr>
        <w:t>n</w:t>
      </w:r>
      <w:r w:rsidR="00605367">
        <w:rPr>
          <w:rFonts w:ascii="MS Reference Sans Serif" w:hAnsi="MS Reference Sans Serif"/>
          <w:sz w:val="24"/>
          <w:szCs w:val="24"/>
          <w:lang w:val="es-ES_tradnl"/>
        </w:rPr>
        <w:t>,</w:t>
      </w:r>
      <w:r w:rsidR="007731F9">
        <w:rPr>
          <w:rFonts w:ascii="MS Reference Sans Serif" w:hAnsi="MS Reference Sans Serif"/>
          <w:sz w:val="24"/>
          <w:szCs w:val="24"/>
          <w:lang w:val="es-ES_tradnl"/>
        </w:rPr>
        <w:t xml:space="preserve"> registren </w:t>
      </w:r>
      <w:r w:rsidR="007731F9">
        <w:rPr>
          <w:rFonts w:ascii="MS Reference Sans Serif" w:hAnsi="MS Reference Sans Serif"/>
          <w:sz w:val="24"/>
          <w:szCs w:val="24"/>
          <w:lang w:val="es-ES_tradnl"/>
        </w:rPr>
        <w:lastRenderedPageBreak/>
        <w:t>y clasifiquen las</w:t>
      </w:r>
      <w:r w:rsidR="00605367">
        <w:rPr>
          <w:rFonts w:ascii="MS Reference Sans Serif" w:hAnsi="MS Reference Sans Serif"/>
          <w:sz w:val="24"/>
          <w:szCs w:val="24"/>
          <w:lang w:val="es-ES_tradnl"/>
        </w:rPr>
        <w:t xml:space="preserve"> características</w:t>
      </w:r>
      <w:r>
        <w:rPr>
          <w:rFonts w:ascii="MS Reference Sans Serif" w:hAnsi="MS Reference Sans Serif"/>
          <w:sz w:val="24"/>
          <w:szCs w:val="24"/>
          <w:lang w:val="es-ES_tradnl"/>
        </w:rPr>
        <w:t xml:space="preserve"> del comportamiento colecti</w:t>
      </w:r>
      <w:r w:rsidR="00605367">
        <w:rPr>
          <w:rFonts w:ascii="MS Reference Sans Serif" w:hAnsi="MS Reference Sans Serif"/>
          <w:sz w:val="24"/>
          <w:szCs w:val="24"/>
          <w:lang w:val="es-ES_tradnl"/>
        </w:rPr>
        <w:t>vo</w:t>
      </w:r>
      <w:r w:rsidR="00F07924">
        <w:rPr>
          <w:rFonts w:ascii="MS Reference Sans Serif" w:hAnsi="MS Reference Sans Serif"/>
          <w:sz w:val="24"/>
          <w:szCs w:val="24"/>
          <w:lang w:val="es-ES_tradnl"/>
        </w:rPr>
        <w:t xml:space="preserve"> bajo criterios de conceptualización unificados.</w:t>
      </w:r>
    </w:p>
    <w:p w:rsidR="007731F9" w:rsidRDefault="007731F9" w:rsidP="001D26AD">
      <w:pPr>
        <w:spacing w:line="360" w:lineRule="auto"/>
        <w:jc w:val="both"/>
        <w:rPr>
          <w:rFonts w:ascii="MS Reference Sans Serif" w:hAnsi="MS Reference Sans Serif"/>
          <w:sz w:val="24"/>
          <w:szCs w:val="24"/>
          <w:lang w:val="es-ES_tradnl"/>
        </w:rPr>
      </w:pPr>
    </w:p>
    <w:p w:rsidR="00B5193B" w:rsidRPr="00B5193B" w:rsidRDefault="00605367" w:rsidP="001D26AD">
      <w:pPr>
        <w:spacing w:line="360" w:lineRule="auto"/>
        <w:jc w:val="both"/>
        <w:rPr>
          <w:rFonts w:ascii="MS Reference Sans Serif" w:hAnsi="MS Reference Sans Serif"/>
          <w:sz w:val="24"/>
          <w:szCs w:val="24"/>
          <w:lang w:val="es-ES_tradnl"/>
        </w:rPr>
      </w:pPr>
      <w:r>
        <w:rPr>
          <w:rFonts w:ascii="MS Reference Sans Serif" w:hAnsi="MS Reference Sans Serif"/>
          <w:sz w:val="24"/>
          <w:szCs w:val="24"/>
          <w:lang w:val="es-ES_tradnl"/>
        </w:rPr>
        <w:t>L</w:t>
      </w:r>
      <w:r w:rsidR="00F07924">
        <w:rPr>
          <w:rFonts w:ascii="MS Reference Sans Serif" w:hAnsi="MS Reference Sans Serif"/>
          <w:sz w:val="24"/>
          <w:szCs w:val="24"/>
          <w:lang w:val="es-ES_tradnl"/>
        </w:rPr>
        <w:t>a unificación de criterios conceptuales</w:t>
      </w:r>
      <w:r>
        <w:rPr>
          <w:rFonts w:ascii="MS Reference Sans Serif" w:hAnsi="MS Reference Sans Serif"/>
          <w:sz w:val="24"/>
          <w:szCs w:val="24"/>
          <w:lang w:val="es-ES_tradnl"/>
        </w:rPr>
        <w:t xml:space="preserve"> involucra</w:t>
      </w:r>
      <w:r w:rsidR="00B5193B" w:rsidRPr="00B5193B">
        <w:rPr>
          <w:rFonts w:ascii="MS Reference Sans Serif" w:hAnsi="MS Reference Sans Serif"/>
          <w:sz w:val="24"/>
          <w:szCs w:val="24"/>
          <w:lang w:val="es-ES_tradnl"/>
        </w:rPr>
        <w:t xml:space="preserve"> </w:t>
      </w:r>
      <w:r>
        <w:rPr>
          <w:rFonts w:ascii="MS Reference Sans Serif" w:hAnsi="MS Reference Sans Serif"/>
          <w:sz w:val="24"/>
          <w:szCs w:val="24"/>
          <w:lang w:val="es-ES_tradnl"/>
        </w:rPr>
        <w:t xml:space="preserve">establecer </w:t>
      </w:r>
      <w:r w:rsidR="007731F9">
        <w:rPr>
          <w:rFonts w:ascii="MS Reference Sans Serif" w:hAnsi="MS Reference Sans Serif"/>
          <w:sz w:val="24"/>
          <w:szCs w:val="24"/>
          <w:lang w:val="es-ES_tradnl"/>
        </w:rPr>
        <w:t>las definiciones con las</w:t>
      </w:r>
      <w:r w:rsidR="00B5193B" w:rsidRPr="00B5193B">
        <w:rPr>
          <w:rFonts w:ascii="MS Reference Sans Serif" w:hAnsi="MS Reference Sans Serif"/>
          <w:sz w:val="24"/>
          <w:szCs w:val="24"/>
          <w:lang w:val="es-ES_tradnl"/>
        </w:rPr>
        <w:t xml:space="preserve"> que parten los sistemas de clasificación</w:t>
      </w:r>
      <w:r>
        <w:rPr>
          <w:rFonts w:ascii="MS Reference Sans Serif" w:hAnsi="MS Reference Sans Serif"/>
          <w:sz w:val="24"/>
          <w:szCs w:val="24"/>
          <w:lang w:val="es-ES_tradnl"/>
        </w:rPr>
        <w:t xml:space="preserve"> no sólo dentro</w:t>
      </w:r>
      <w:r w:rsidR="007731F9">
        <w:rPr>
          <w:rFonts w:ascii="MS Reference Sans Serif" w:hAnsi="MS Reference Sans Serif"/>
          <w:sz w:val="24"/>
          <w:szCs w:val="24"/>
          <w:lang w:val="es-ES_tradnl"/>
        </w:rPr>
        <w:t xml:space="preserve"> del Código Penal, sino dentro del imaginario colectivo institucional formal e informal.</w:t>
      </w:r>
    </w:p>
    <w:p w:rsidR="00FD252A" w:rsidRPr="00194A75" w:rsidRDefault="00C54695" w:rsidP="001D26AD">
      <w:pPr>
        <w:pStyle w:val="Ttulo1"/>
        <w:numPr>
          <w:ilvl w:val="0"/>
          <w:numId w:val="4"/>
        </w:numPr>
        <w:spacing w:line="360" w:lineRule="auto"/>
        <w:rPr>
          <w:color w:val="7F7F7F" w:themeColor="text1" w:themeTint="80"/>
          <w:lang w:val="es-ES_tradnl"/>
        </w:rPr>
      </w:pPr>
      <w:bookmarkStart w:id="2" w:name="_Toc369732050"/>
      <w:r w:rsidRPr="00194A75">
        <w:rPr>
          <w:color w:val="7F7F7F" w:themeColor="text1" w:themeTint="80"/>
          <w:lang w:val="es-ES_tradnl"/>
        </w:rPr>
        <w:t>Bases</w:t>
      </w:r>
      <w:r w:rsidR="00E42723" w:rsidRPr="00194A75">
        <w:rPr>
          <w:color w:val="7F7F7F" w:themeColor="text1" w:themeTint="80"/>
          <w:lang w:val="es-ES_tradnl"/>
        </w:rPr>
        <w:t xml:space="preserve"> teóricas</w:t>
      </w:r>
      <w:r w:rsidRPr="00194A75">
        <w:rPr>
          <w:color w:val="7F7F7F" w:themeColor="text1" w:themeTint="80"/>
          <w:lang w:val="es-ES_tradnl"/>
        </w:rPr>
        <w:t xml:space="preserve"> para la d</w:t>
      </w:r>
      <w:r w:rsidR="00FD252A" w:rsidRPr="00194A75">
        <w:rPr>
          <w:color w:val="7F7F7F" w:themeColor="text1" w:themeTint="80"/>
          <w:lang w:val="es-ES_tradnl"/>
        </w:rPr>
        <w:t>eco</w:t>
      </w:r>
      <w:r w:rsidRPr="00194A75">
        <w:rPr>
          <w:color w:val="7F7F7F" w:themeColor="text1" w:themeTint="80"/>
          <w:lang w:val="es-ES_tradnl"/>
        </w:rPr>
        <w:t>nstrucción conceptual</w:t>
      </w:r>
      <w:bookmarkEnd w:id="2"/>
    </w:p>
    <w:p w:rsidR="00FD252A" w:rsidRDefault="00FD252A" w:rsidP="001D26AD">
      <w:pPr>
        <w:spacing w:line="360" w:lineRule="auto"/>
        <w:jc w:val="both"/>
        <w:rPr>
          <w:rFonts w:ascii="MS Reference Sans Serif" w:hAnsi="MS Reference Sans Serif"/>
          <w:sz w:val="24"/>
          <w:szCs w:val="24"/>
          <w:lang w:val="es-ES_tradnl"/>
        </w:rPr>
      </w:pPr>
      <w:r w:rsidRPr="009B7304">
        <w:rPr>
          <w:rFonts w:ascii="MS Reference Sans Serif" w:hAnsi="MS Reference Sans Serif"/>
          <w:sz w:val="24"/>
          <w:szCs w:val="24"/>
          <w:lang w:val="es-ES_tradnl"/>
        </w:rPr>
        <w:t>La profusión de los linchamientos en la Guatemala de los años siguientes a los Acuerdos de Paz y los primeros años post</w:t>
      </w:r>
      <w:r w:rsidR="00E25592">
        <w:rPr>
          <w:rFonts w:ascii="MS Reference Sans Serif" w:hAnsi="MS Reference Sans Serif"/>
          <w:sz w:val="24"/>
          <w:szCs w:val="24"/>
          <w:lang w:val="es-ES_tradnl"/>
        </w:rPr>
        <w:t xml:space="preserve">-conflicto llamaron la atención </w:t>
      </w:r>
      <w:r w:rsidRPr="009B7304">
        <w:rPr>
          <w:rFonts w:ascii="MS Reference Sans Serif" w:hAnsi="MS Reference Sans Serif"/>
          <w:sz w:val="24"/>
          <w:szCs w:val="24"/>
          <w:lang w:val="es-ES_tradnl"/>
        </w:rPr>
        <w:t>de diferentes científicos sociales, afanados en explicar las cifras cada vez más elevadas de este tipo de actos de violen</w:t>
      </w:r>
      <w:r w:rsidR="00C54695">
        <w:rPr>
          <w:rFonts w:ascii="MS Reference Sans Serif" w:hAnsi="MS Reference Sans Serif"/>
          <w:sz w:val="24"/>
          <w:szCs w:val="24"/>
          <w:lang w:val="es-ES_tradnl"/>
        </w:rPr>
        <w:t>cia tumultuaria</w:t>
      </w:r>
      <w:r w:rsidRPr="009B7304">
        <w:rPr>
          <w:rFonts w:ascii="MS Reference Sans Serif" w:hAnsi="MS Reference Sans Serif"/>
          <w:sz w:val="24"/>
          <w:szCs w:val="24"/>
          <w:lang w:val="es-ES_tradnl"/>
        </w:rPr>
        <w:t xml:space="preserve"> </w:t>
      </w:r>
      <w:sdt>
        <w:sdtPr>
          <w:rPr>
            <w:rFonts w:ascii="MS Reference Sans Serif" w:hAnsi="MS Reference Sans Serif"/>
            <w:sz w:val="24"/>
            <w:szCs w:val="24"/>
            <w:lang w:val="es-ES_tradnl"/>
          </w:rPr>
          <w:id w:val="1994080"/>
          <w:citation/>
        </w:sdtPr>
        <w:sdtContent>
          <w:r w:rsidR="004D000D">
            <w:rPr>
              <w:rFonts w:ascii="MS Reference Sans Serif" w:hAnsi="MS Reference Sans Serif"/>
              <w:sz w:val="24"/>
              <w:szCs w:val="24"/>
              <w:lang w:val="es-ES_tradnl"/>
            </w:rPr>
            <w:fldChar w:fldCharType="begin"/>
          </w:r>
          <w:r>
            <w:rPr>
              <w:rFonts w:ascii="MS Reference Sans Serif" w:hAnsi="MS Reference Sans Serif"/>
              <w:sz w:val="24"/>
              <w:szCs w:val="24"/>
              <w:lang w:val="es-ES_tradnl"/>
            </w:rPr>
            <w:instrText xml:space="preserve"> CITATION Gar091 \l 1034 </w:instrText>
          </w:r>
          <w:r w:rsidR="004D000D">
            <w:rPr>
              <w:rFonts w:ascii="MS Reference Sans Serif" w:hAnsi="MS Reference Sans Serif"/>
              <w:sz w:val="24"/>
              <w:szCs w:val="24"/>
              <w:lang w:val="es-ES_tradnl"/>
            </w:rPr>
            <w:fldChar w:fldCharType="separate"/>
          </w:r>
          <w:r w:rsidR="00526FC4" w:rsidRPr="00526FC4">
            <w:rPr>
              <w:rFonts w:ascii="MS Reference Sans Serif" w:hAnsi="MS Reference Sans Serif"/>
              <w:noProof/>
              <w:sz w:val="24"/>
              <w:szCs w:val="24"/>
              <w:lang w:val="es-ES_tradnl"/>
            </w:rPr>
            <w:t>(García &amp; Juárez, 2009)</w:t>
          </w:r>
          <w:r w:rsidR="004D000D">
            <w:rPr>
              <w:rFonts w:ascii="MS Reference Sans Serif" w:hAnsi="MS Reference Sans Serif"/>
              <w:sz w:val="24"/>
              <w:szCs w:val="24"/>
              <w:lang w:val="es-ES_tradnl"/>
            </w:rPr>
            <w:fldChar w:fldCharType="end"/>
          </w:r>
        </w:sdtContent>
      </w:sdt>
      <w:r w:rsidR="00C54695">
        <w:rPr>
          <w:rFonts w:ascii="MS Reference Sans Serif" w:hAnsi="MS Reference Sans Serif"/>
          <w:sz w:val="24"/>
          <w:szCs w:val="24"/>
          <w:lang w:val="es-ES_tradnl"/>
        </w:rPr>
        <w:t>.</w:t>
      </w:r>
    </w:p>
    <w:p w:rsidR="00E25592" w:rsidRDefault="00E25592" w:rsidP="001D26AD">
      <w:pPr>
        <w:spacing w:line="360" w:lineRule="auto"/>
        <w:jc w:val="both"/>
        <w:rPr>
          <w:rFonts w:ascii="MS Reference Sans Serif" w:hAnsi="MS Reference Sans Serif"/>
          <w:sz w:val="24"/>
          <w:szCs w:val="24"/>
          <w:lang w:val="es-ES_tradnl"/>
        </w:rPr>
      </w:pPr>
    </w:p>
    <w:p w:rsidR="00E25592" w:rsidRDefault="00592E61" w:rsidP="001D26AD">
      <w:pPr>
        <w:spacing w:line="360" w:lineRule="auto"/>
        <w:jc w:val="both"/>
        <w:rPr>
          <w:rFonts w:ascii="MS Reference Sans Serif" w:hAnsi="MS Reference Sans Serif"/>
          <w:sz w:val="24"/>
          <w:szCs w:val="24"/>
          <w:lang w:val="es-ES_tradnl"/>
        </w:rPr>
      </w:pPr>
      <w:r>
        <w:rPr>
          <w:rFonts w:ascii="MS Reference Sans Serif" w:hAnsi="MS Reference Sans Serif"/>
          <w:sz w:val="24"/>
          <w:szCs w:val="24"/>
          <w:lang w:val="es-ES_tradnl"/>
        </w:rPr>
        <w:t xml:space="preserve">Las instituciones e investigadores </w:t>
      </w:r>
      <w:r w:rsidR="00C54695">
        <w:rPr>
          <w:rFonts w:ascii="MS Reference Sans Serif" w:hAnsi="MS Reference Sans Serif"/>
          <w:sz w:val="24"/>
          <w:szCs w:val="24"/>
          <w:lang w:val="es-ES_tradnl"/>
        </w:rPr>
        <w:t>involucrados en registrar este tipo de acto</w:t>
      </w:r>
      <w:r>
        <w:rPr>
          <w:rFonts w:ascii="MS Reference Sans Serif" w:hAnsi="MS Reference Sans Serif"/>
          <w:sz w:val="24"/>
          <w:szCs w:val="24"/>
          <w:lang w:val="es-ES_tradnl"/>
        </w:rPr>
        <w:t xml:space="preserve"> son</w:t>
      </w:r>
      <w:r w:rsidR="00E25592">
        <w:rPr>
          <w:rFonts w:ascii="MS Reference Sans Serif" w:hAnsi="MS Reference Sans Serif"/>
          <w:sz w:val="24"/>
          <w:szCs w:val="24"/>
          <w:lang w:val="es-ES_tradnl"/>
        </w:rPr>
        <w:t xml:space="preserve"> la Misión de Verificación de las Naciones Unidas en Guatemala –MINUGUA-</w:t>
      </w:r>
      <w:r>
        <w:rPr>
          <w:rFonts w:ascii="MS Reference Sans Serif" w:hAnsi="MS Reference Sans Serif"/>
          <w:sz w:val="24"/>
          <w:szCs w:val="24"/>
          <w:lang w:val="es-ES_tradnl"/>
        </w:rPr>
        <w:t xml:space="preserve">, </w:t>
      </w:r>
      <w:proofErr w:type="spellStart"/>
      <w:r>
        <w:rPr>
          <w:rFonts w:ascii="MS Reference Sans Serif" w:hAnsi="MS Reference Sans Serif"/>
          <w:sz w:val="24"/>
          <w:szCs w:val="24"/>
          <w:lang w:val="es-ES_tradnl"/>
        </w:rPr>
        <w:t>Edelberto</w:t>
      </w:r>
      <w:proofErr w:type="spellEnd"/>
      <w:r>
        <w:rPr>
          <w:rFonts w:ascii="MS Reference Sans Serif" w:hAnsi="MS Reference Sans Serif"/>
          <w:sz w:val="24"/>
          <w:szCs w:val="24"/>
          <w:lang w:val="es-ES_tradnl"/>
        </w:rPr>
        <w:t xml:space="preserve"> Torres Rivas, Carlos Vilas y en la Universidad de San Carlos de Guatemala la Dirección General de Investigación –DIGI- quienes identificaron </w:t>
      </w:r>
      <w:r w:rsidR="00AA00F4">
        <w:rPr>
          <w:rFonts w:ascii="MS Reference Sans Serif" w:hAnsi="MS Reference Sans Serif"/>
          <w:sz w:val="24"/>
          <w:szCs w:val="24"/>
          <w:lang w:val="es-ES_tradnl"/>
        </w:rPr>
        <w:t xml:space="preserve">como causas de este delito a la cultura de violencia por el Conflicto Armado Interno –CAI-, la ineficacia por las organizaciones del Estado, la pobreza, el bajo índice de desarrollo humano, la histeria o pánico colectivo, el amarillismo en medios de comunicación y la militarización de conductas. </w:t>
      </w:r>
    </w:p>
    <w:p w:rsidR="00C54695" w:rsidRDefault="00C54695" w:rsidP="001D26AD">
      <w:pPr>
        <w:spacing w:line="360" w:lineRule="auto"/>
        <w:jc w:val="both"/>
        <w:rPr>
          <w:rFonts w:ascii="MS Reference Sans Serif" w:hAnsi="MS Reference Sans Serif"/>
          <w:sz w:val="24"/>
          <w:szCs w:val="24"/>
        </w:rPr>
      </w:pPr>
    </w:p>
    <w:p w:rsidR="00CE20EF" w:rsidRPr="00CE20EF" w:rsidRDefault="00CE20EF" w:rsidP="001D26AD">
      <w:pPr>
        <w:spacing w:line="360" w:lineRule="auto"/>
        <w:jc w:val="both"/>
        <w:rPr>
          <w:rFonts w:ascii="MS Reference Sans Serif" w:hAnsi="MS Reference Sans Serif"/>
          <w:sz w:val="24"/>
          <w:szCs w:val="24"/>
        </w:rPr>
      </w:pPr>
      <w:r w:rsidRPr="00CE20EF">
        <w:rPr>
          <w:rFonts w:ascii="MS Reference Sans Serif" w:hAnsi="MS Reference Sans Serif"/>
          <w:sz w:val="24"/>
          <w:szCs w:val="24"/>
        </w:rPr>
        <w:t>Es</w:t>
      </w:r>
      <w:r w:rsidR="00C54695">
        <w:rPr>
          <w:rFonts w:ascii="MS Reference Sans Serif" w:hAnsi="MS Reference Sans Serif"/>
          <w:sz w:val="24"/>
          <w:szCs w:val="24"/>
        </w:rPr>
        <w:t>tas instituciones e investigadores también explican</w:t>
      </w:r>
      <w:r w:rsidR="00E37517">
        <w:rPr>
          <w:rFonts w:ascii="MS Reference Sans Serif" w:hAnsi="MS Reference Sans Serif"/>
          <w:sz w:val="24"/>
          <w:szCs w:val="24"/>
        </w:rPr>
        <w:t xml:space="preserve"> cómo los linchamientos</w:t>
      </w:r>
      <w:r w:rsidRPr="00CE20EF">
        <w:rPr>
          <w:rFonts w:ascii="MS Reference Sans Serif" w:hAnsi="MS Reference Sans Serif"/>
          <w:sz w:val="24"/>
          <w:szCs w:val="24"/>
        </w:rPr>
        <w:t xml:space="preserve"> se presta</w:t>
      </w:r>
      <w:r w:rsidR="00E37517">
        <w:rPr>
          <w:rFonts w:ascii="MS Reference Sans Serif" w:hAnsi="MS Reference Sans Serif"/>
          <w:sz w:val="24"/>
          <w:szCs w:val="24"/>
        </w:rPr>
        <w:t>n</w:t>
      </w:r>
      <w:r w:rsidRPr="00CE20EF">
        <w:rPr>
          <w:rFonts w:ascii="MS Reference Sans Serif" w:hAnsi="MS Reference Sans Serif"/>
          <w:sz w:val="24"/>
          <w:szCs w:val="24"/>
        </w:rPr>
        <w:t xml:space="preserve"> </w:t>
      </w:r>
      <w:r w:rsidR="00377D0E">
        <w:rPr>
          <w:rFonts w:ascii="MS Reference Sans Serif" w:hAnsi="MS Reference Sans Serif"/>
          <w:sz w:val="24"/>
          <w:szCs w:val="24"/>
        </w:rPr>
        <w:t>como algo difícil de predecir</w:t>
      </w:r>
      <w:r w:rsidRPr="00CE20EF">
        <w:rPr>
          <w:rFonts w:ascii="MS Reference Sans Serif" w:hAnsi="MS Reference Sans Serif"/>
          <w:sz w:val="24"/>
          <w:szCs w:val="24"/>
        </w:rPr>
        <w:t xml:space="preserve"> y </w:t>
      </w:r>
      <w:r w:rsidR="00FE33E8">
        <w:rPr>
          <w:rFonts w:ascii="MS Reference Sans Serif" w:hAnsi="MS Reference Sans Serif"/>
          <w:sz w:val="24"/>
          <w:szCs w:val="24"/>
        </w:rPr>
        <w:t xml:space="preserve">se </w:t>
      </w:r>
      <w:r w:rsidRPr="00CE20EF">
        <w:rPr>
          <w:rFonts w:ascii="MS Reference Sans Serif" w:hAnsi="MS Reference Sans Serif"/>
          <w:sz w:val="24"/>
          <w:szCs w:val="24"/>
        </w:rPr>
        <w:t>reduce la capacidad de prevención</w:t>
      </w:r>
      <w:r w:rsidR="00E37517">
        <w:rPr>
          <w:rFonts w:ascii="MS Reference Sans Serif" w:hAnsi="MS Reference Sans Serif"/>
          <w:sz w:val="24"/>
          <w:szCs w:val="24"/>
        </w:rPr>
        <w:t xml:space="preserve"> del delito</w:t>
      </w:r>
      <w:r w:rsidR="00FE33E8">
        <w:rPr>
          <w:rFonts w:ascii="MS Reference Sans Serif" w:hAnsi="MS Reference Sans Serif"/>
          <w:sz w:val="24"/>
          <w:szCs w:val="24"/>
        </w:rPr>
        <w:t>, así como</w:t>
      </w:r>
      <w:r w:rsidR="00E37517">
        <w:rPr>
          <w:rFonts w:ascii="MS Reference Sans Serif" w:hAnsi="MS Reference Sans Serif"/>
          <w:sz w:val="24"/>
          <w:szCs w:val="24"/>
        </w:rPr>
        <w:t xml:space="preserve"> el</w:t>
      </w:r>
      <w:r w:rsidRPr="00CE20EF">
        <w:rPr>
          <w:rFonts w:ascii="MS Reference Sans Serif" w:hAnsi="MS Reference Sans Serif"/>
          <w:sz w:val="24"/>
          <w:szCs w:val="24"/>
        </w:rPr>
        <w:t xml:space="preserve"> ejercicio </w:t>
      </w:r>
      <w:r w:rsidR="00E37517">
        <w:rPr>
          <w:rFonts w:ascii="MS Reference Sans Serif" w:hAnsi="MS Reference Sans Serif"/>
          <w:sz w:val="24"/>
          <w:szCs w:val="24"/>
        </w:rPr>
        <w:t>del respeto al derecho a la vida</w:t>
      </w:r>
      <w:r w:rsidRPr="00CE20EF">
        <w:rPr>
          <w:rFonts w:ascii="MS Reference Sans Serif" w:hAnsi="MS Reference Sans Serif"/>
          <w:sz w:val="24"/>
          <w:szCs w:val="24"/>
        </w:rPr>
        <w:t>. Desde la psicología social, la sociología, antropología y otras disciplinas en diferentes países han pr</w:t>
      </w:r>
      <w:r w:rsidR="00E37517">
        <w:rPr>
          <w:rFonts w:ascii="MS Reference Sans Serif" w:hAnsi="MS Reference Sans Serif"/>
          <w:sz w:val="24"/>
          <w:szCs w:val="24"/>
        </w:rPr>
        <w:t xml:space="preserve">ocurado determinar el fenómeno. Las cuatro teorías </w:t>
      </w:r>
      <w:r w:rsidR="00E37517">
        <w:rPr>
          <w:rFonts w:ascii="MS Reference Sans Serif" w:hAnsi="MS Reference Sans Serif"/>
          <w:sz w:val="24"/>
          <w:szCs w:val="24"/>
        </w:rPr>
        <w:lastRenderedPageBreak/>
        <w:t xml:space="preserve">que predominan –psicología evolutiva, teoría de la acción colectiva, teoría de las instituciones y teoría del intercambio colectivo- explican el fenómeno de los linchamientos desde distintas perspectivas. </w:t>
      </w:r>
    </w:p>
    <w:p w:rsidR="00CE20EF" w:rsidRPr="00194A75" w:rsidRDefault="00CE20EF" w:rsidP="001D26AD">
      <w:pPr>
        <w:pStyle w:val="Ttulo1"/>
        <w:numPr>
          <w:ilvl w:val="1"/>
          <w:numId w:val="4"/>
        </w:numPr>
        <w:spacing w:line="360" w:lineRule="auto"/>
        <w:rPr>
          <w:color w:val="7F7F7F" w:themeColor="text1" w:themeTint="80"/>
        </w:rPr>
      </w:pPr>
      <w:bookmarkStart w:id="3" w:name="_Toc369732051"/>
      <w:r w:rsidRPr="00194A75">
        <w:rPr>
          <w:color w:val="7F7F7F" w:themeColor="text1" w:themeTint="80"/>
        </w:rPr>
        <w:t>Teoría Psicología Evolutiva</w:t>
      </w:r>
      <w:bookmarkEnd w:id="3"/>
    </w:p>
    <w:p w:rsidR="00CE20EF" w:rsidRDefault="00E37517" w:rsidP="001D26AD">
      <w:pPr>
        <w:spacing w:line="360" w:lineRule="auto"/>
        <w:jc w:val="both"/>
        <w:rPr>
          <w:rFonts w:ascii="MS Reference Sans Serif" w:hAnsi="MS Reference Sans Serif"/>
          <w:sz w:val="24"/>
          <w:szCs w:val="24"/>
        </w:rPr>
      </w:pPr>
      <w:r>
        <w:rPr>
          <w:rFonts w:ascii="MS Reference Sans Serif" w:hAnsi="MS Reference Sans Serif"/>
          <w:sz w:val="24"/>
          <w:szCs w:val="24"/>
        </w:rPr>
        <w:t>La teoría de psicología evolutiva s</w:t>
      </w:r>
      <w:r w:rsidR="00CE20EF" w:rsidRPr="00CE20EF">
        <w:rPr>
          <w:rFonts w:ascii="MS Reference Sans Serif" w:hAnsi="MS Reference Sans Serif"/>
          <w:sz w:val="24"/>
          <w:szCs w:val="24"/>
        </w:rPr>
        <w:t>e apoya en la teoría de juegos y entre los comportamientos del ser humano que desea se encuentra el del comportamiento violento. El altruismo recíproco está involucrado, donde se premia a quienes cooperan y se castiga a los que no.</w:t>
      </w:r>
    </w:p>
    <w:p w:rsidR="00F56C80" w:rsidRPr="00CE20EF" w:rsidRDefault="00F56C80" w:rsidP="001D26AD">
      <w:pPr>
        <w:spacing w:line="360" w:lineRule="auto"/>
        <w:jc w:val="both"/>
        <w:rPr>
          <w:rFonts w:ascii="MS Reference Sans Serif" w:hAnsi="MS Reference Sans Serif"/>
          <w:sz w:val="24"/>
          <w:szCs w:val="24"/>
        </w:rPr>
      </w:pPr>
    </w:p>
    <w:p w:rsidR="00CE20EF" w:rsidRDefault="00CE20EF" w:rsidP="001D26AD">
      <w:pPr>
        <w:spacing w:line="360" w:lineRule="auto"/>
        <w:jc w:val="both"/>
        <w:rPr>
          <w:rFonts w:ascii="MS Reference Sans Serif" w:hAnsi="MS Reference Sans Serif"/>
          <w:sz w:val="24"/>
          <w:szCs w:val="24"/>
        </w:rPr>
      </w:pPr>
      <w:r w:rsidRPr="00CE20EF">
        <w:rPr>
          <w:rFonts w:ascii="MS Reference Sans Serif" w:hAnsi="MS Reference Sans Serif"/>
          <w:sz w:val="24"/>
          <w:szCs w:val="24"/>
        </w:rPr>
        <w:t xml:space="preserve">Asimismo involucra cuestiones de la conformación de alianzas y el papel del castigo para solucionar el problema del free- </w:t>
      </w:r>
      <w:proofErr w:type="spellStart"/>
      <w:r w:rsidRPr="00CE20EF">
        <w:rPr>
          <w:rFonts w:ascii="MS Reference Sans Serif" w:hAnsi="MS Reference Sans Serif"/>
          <w:sz w:val="24"/>
          <w:szCs w:val="24"/>
        </w:rPr>
        <w:t>rider</w:t>
      </w:r>
      <w:proofErr w:type="spellEnd"/>
      <w:r w:rsidRPr="00CE20EF">
        <w:rPr>
          <w:rFonts w:ascii="MS Reference Sans Serif" w:hAnsi="MS Reference Sans Serif"/>
          <w:sz w:val="24"/>
          <w:szCs w:val="24"/>
        </w:rPr>
        <w:t xml:space="preserve">, que alimenta a la conformación de la acción colectiva y la vida en grupo. </w:t>
      </w:r>
    </w:p>
    <w:p w:rsidR="00F56C80" w:rsidRPr="00CE20EF" w:rsidRDefault="00F56C80" w:rsidP="001D26AD">
      <w:pPr>
        <w:spacing w:line="360" w:lineRule="auto"/>
        <w:jc w:val="both"/>
        <w:rPr>
          <w:rFonts w:ascii="MS Reference Sans Serif" w:hAnsi="MS Reference Sans Serif"/>
          <w:sz w:val="24"/>
          <w:szCs w:val="24"/>
        </w:rPr>
      </w:pPr>
    </w:p>
    <w:p w:rsidR="00CE20EF" w:rsidRPr="00CE20EF" w:rsidRDefault="00CE20EF" w:rsidP="001D26AD">
      <w:pPr>
        <w:spacing w:line="360" w:lineRule="auto"/>
        <w:jc w:val="both"/>
        <w:rPr>
          <w:rFonts w:ascii="MS Reference Sans Serif" w:hAnsi="MS Reference Sans Serif"/>
          <w:sz w:val="24"/>
          <w:szCs w:val="24"/>
        </w:rPr>
      </w:pPr>
      <w:r w:rsidRPr="00CE20EF">
        <w:rPr>
          <w:rFonts w:ascii="MS Reference Sans Serif" w:hAnsi="MS Reference Sans Serif"/>
          <w:sz w:val="24"/>
          <w:szCs w:val="24"/>
        </w:rPr>
        <w:t>La hipótesis que rodea esta teoría es la de la aceptación que los hombres necesitan por parte de la comunidad. Donde hay ausencia de instituciones del Estado surge una cultura de honor, el estatus y el poder son la manera de demostrar qué tan determinantes son. Agrega que la agresividad y disponibilidad son los mecanismos para mantener el orden. Las normas y costumbres giran en torno a la violencia como medio para la defen</w:t>
      </w:r>
      <w:r>
        <w:rPr>
          <w:rFonts w:ascii="MS Reference Sans Serif" w:hAnsi="MS Reference Sans Serif"/>
          <w:sz w:val="24"/>
          <w:szCs w:val="24"/>
        </w:rPr>
        <w:t>sa de la propiedad.</w:t>
      </w:r>
    </w:p>
    <w:p w:rsidR="00CE20EF" w:rsidRPr="00194A75" w:rsidRDefault="00CE20EF" w:rsidP="001D26AD">
      <w:pPr>
        <w:pStyle w:val="Ttulo1"/>
        <w:numPr>
          <w:ilvl w:val="1"/>
          <w:numId w:val="4"/>
        </w:numPr>
        <w:spacing w:line="360" w:lineRule="auto"/>
        <w:rPr>
          <w:color w:val="7F7F7F" w:themeColor="text1" w:themeTint="80"/>
        </w:rPr>
      </w:pPr>
      <w:bookmarkStart w:id="4" w:name="_Toc369732052"/>
      <w:r w:rsidRPr="00194A75">
        <w:rPr>
          <w:color w:val="7F7F7F" w:themeColor="text1" w:themeTint="80"/>
        </w:rPr>
        <w:t>Teoría de la acción colectiva</w:t>
      </w:r>
      <w:bookmarkEnd w:id="4"/>
    </w:p>
    <w:p w:rsidR="00CE20EF" w:rsidRPr="00CE20EF" w:rsidRDefault="00CE20EF" w:rsidP="001D26AD">
      <w:pPr>
        <w:spacing w:line="360" w:lineRule="auto"/>
        <w:jc w:val="both"/>
        <w:rPr>
          <w:rFonts w:ascii="MS Reference Sans Serif" w:hAnsi="MS Reference Sans Serif"/>
          <w:sz w:val="24"/>
          <w:szCs w:val="24"/>
        </w:rPr>
      </w:pPr>
      <w:r w:rsidRPr="00CE20EF">
        <w:rPr>
          <w:rFonts w:ascii="MS Reference Sans Serif" w:hAnsi="MS Reference Sans Serif"/>
          <w:sz w:val="24"/>
          <w:szCs w:val="24"/>
        </w:rPr>
        <w:t xml:space="preserve">En esta teoría se tiene supuesto de que los individuos son racionales y sus decisiones las basan en análisis de costos y beneficios. Dentro esta lógica construir bienes sociales es complejo porque una vez están establecidos el beneficio no excluye a nadie y hay probabilidad de que algunos no cooperen, esperan que otros asuman los costos. Si se establece coordinación y reglas </w:t>
      </w:r>
      <w:r w:rsidRPr="00CE20EF">
        <w:rPr>
          <w:rFonts w:ascii="MS Reference Sans Serif" w:hAnsi="MS Reference Sans Serif"/>
          <w:sz w:val="24"/>
          <w:szCs w:val="24"/>
        </w:rPr>
        <w:lastRenderedPageBreak/>
        <w:t>que guíen el comportamiento, puede resolverse los conflictos con el mínimo de individuos para hacer posible</w:t>
      </w:r>
      <w:r>
        <w:rPr>
          <w:rFonts w:ascii="MS Reference Sans Serif" w:hAnsi="MS Reference Sans Serif"/>
          <w:sz w:val="24"/>
          <w:szCs w:val="24"/>
        </w:rPr>
        <w:t xml:space="preserve"> la provisión del bien público.</w:t>
      </w:r>
    </w:p>
    <w:p w:rsidR="00CE20EF" w:rsidRPr="00194A75" w:rsidRDefault="00CE20EF" w:rsidP="001D26AD">
      <w:pPr>
        <w:pStyle w:val="Ttulo1"/>
        <w:numPr>
          <w:ilvl w:val="1"/>
          <w:numId w:val="4"/>
        </w:numPr>
        <w:spacing w:line="360" w:lineRule="auto"/>
        <w:rPr>
          <w:color w:val="7F7F7F" w:themeColor="text1" w:themeTint="80"/>
        </w:rPr>
      </w:pPr>
      <w:bookmarkStart w:id="5" w:name="_Toc369732053"/>
      <w:r w:rsidRPr="00194A75">
        <w:rPr>
          <w:color w:val="7F7F7F" w:themeColor="text1" w:themeTint="80"/>
        </w:rPr>
        <w:t>Teoría de las instituciones</w:t>
      </w:r>
      <w:bookmarkEnd w:id="5"/>
    </w:p>
    <w:p w:rsidR="00CE20EF" w:rsidRDefault="00CE20EF" w:rsidP="001D26AD">
      <w:pPr>
        <w:spacing w:line="360" w:lineRule="auto"/>
        <w:jc w:val="both"/>
        <w:rPr>
          <w:rFonts w:ascii="MS Reference Sans Serif" w:hAnsi="MS Reference Sans Serif"/>
          <w:sz w:val="24"/>
          <w:szCs w:val="24"/>
        </w:rPr>
      </w:pPr>
      <w:r w:rsidRPr="00CE20EF">
        <w:rPr>
          <w:rFonts w:ascii="MS Reference Sans Serif" w:hAnsi="MS Reference Sans Serif"/>
          <w:sz w:val="24"/>
          <w:szCs w:val="24"/>
        </w:rPr>
        <w:t xml:space="preserve">Las instituciones son reglas del juego y reducen el comportamiento humano, son modelos mentales compartidos que se externalizan en leyes, normas y convenciones. Hay momento que la </w:t>
      </w:r>
      <w:proofErr w:type="spellStart"/>
      <w:r w:rsidRPr="00CE20EF">
        <w:rPr>
          <w:rFonts w:ascii="MS Reference Sans Serif" w:hAnsi="MS Reference Sans Serif"/>
          <w:sz w:val="24"/>
          <w:szCs w:val="24"/>
        </w:rPr>
        <w:t>externalización</w:t>
      </w:r>
      <w:proofErr w:type="spellEnd"/>
      <w:r w:rsidRPr="00CE20EF">
        <w:rPr>
          <w:rFonts w:ascii="MS Reference Sans Serif" w:hAnsi="MS Reference Sans Serif"/>
          <w:sz w:val="24"/>
          <w:szCs w:val="24"/>
        </w:rPr>
        <w:t xml:space="preserve"> se </w:t>
      </w:r>
      <w:proofErr w:type="spellStart"/>
      <w:r w:rsidRPr="00CE20EF">
        <w:rPr>
          <w:rFonts w:ascii="MS Reference Sans Serif" w:hAnsi="MS Reference Sans Serif"/>
          <w:sz w:val="24"/>
          <w:szCs w:val="24"/>
        </w:rPr>
        <w:t>objetiviza</w:t>
      </w:r>
      <w:proofErr w:type="spellEnd"/>
      <w:r w:rsidRPr="00CE20EF">
        <w:rPr>
          <w:rFonts w:ascii="MS Reference Sans Serif" w:hAnsi="MS Reference Sans Serif"/>
          <w:sz w:val="24"/>
          <w:szCs w:val="24"/>
        </w:rPr>
        <w:t xml:space="preserve"> y no se cuestiona si la ley, norma o convención beneficia o perjudica la determinada norma de conducta, sólo se sigue. De allí surgen problemas como los límites de la legislación y el papel de las normas sociales.</w:t>
      </w:r>
    </w:p>
    <w:p w:rsidR="00F56C80" w:rsidRPr="00CE20EF" w:rsidRDefault="00F56C80" w:rsidP="001D26AD">
      <w:pPr>
        <w:spacing w:line="360" w:lineRule="auto"/>
        <w:jc w:val="both"/>
        <w:rPr>
          <w:rFonts w:ascii="MS Reference Sans Serif" w:hAnsi="MS Reference Sans Serif"/>
          <w:sz w:val="24"/>
          <w:szCs w:val="24"/>
        </w:rPr>
      </w:pPr>
    </w:p>
    <w:p w:rsidR="00CE20EF" w:rsidRDefault="00CE20EF" w:rsidP="001D26AD">
      <w:pPr>
        <w:spacing w:line="360" w:lineRule="auto"/>
        <w:jc w:val="both"/>
        <w:rPr>
          <w:rFonts w:ascii="MS Reference Sans Serif" w:hAnsi="MS Reference Sans Serif"/>
          <w:sz w:val="24"/>
          <w:szCs w:val="24"/>
        </w:rPr>
      </w:pPr>
      <w:r w:rsidRPr="00CE20EF">
        <w:rPr>
          <w:rFonts w:ascii="MS Reference Sans Serif" w:hAnsi="MS Reference Sans Serif"/>
          <w:sz w:val="24"/>
          <w:szCs w:val="24"/>
        </w:rPr>
        <w:t xml:space="preserve">La cultura del honor externaliza modelos mentales violentos donde “si alguien te hizo daño, entonces debes castigarlo para garantizar tu seguridad y la de toda la comunidad en el futuro” Cuando el nivel de </w:t>
      </w:r>
      <w:proofErr w:type="spellStart"/>
      <w:r w:rsidRPr="00CE20EF">
        <w:rPr>
          <w:rFonts w:ascii="MS Reference Sans Serif" w:hAnsi="MS Reference Sans Serif"/>
          <w:sz w:val="24"/>
          <w:szCs w:val="24"/>
        </w:rPr>
        <w:t>externalización</w:t>
      </w:r>
      <w:proofErr w:type="spellEnd"/>
      <w:r w:rsidRPr="00CE20EF">
        <w:rPr>
          <w:rFonts w:ascii="MS Reference Sans Serif" w:hAnsi="MS Reference Sans Serif"/>
          <w:sz w:val="24"/>
          <w:szCs w:val="24"/>
        </w:rPr>
        <w:t xml:space="preserve"> y difusión incrementa, hay probabilidad de que ésta mande al Estado a cumplir esa regla compartida.</w:t>
      </w:r>
    </w:p>
    <w:p w:rsidR="00F56C80" w:rsidRPr="00CE20EF" w:rsidRDefault="00F56C80" w:rsidP="001D26AD">
      <w:pPr>
        <w:spacing w:line="360" w:lineRule="auto"/>
        <w:jc w:val="both"/>
        <w:rPr>
          <w:rFonts w:ascii="MS Reference Sans Serif" w:hAnsi="MS Reference Sans Serif"/>
          <w:sz w:val="24"/>
          <w:szCs w:val="24"/>
        </w:rPr>
      </w:pPr>
    </w:p>
    <w:p w:rsidR="00CE20EF" w:rsidRPr="00CE20EF" w:rsidRDefault="00CE20EF" w:rsidP="001D26AD">
      <w:pPr>
        <w:spacing w:line="360" w:lineRule="auto"/>
        <w:jc w:val="both"/>
        <w:rPr>
          <w:rFonts w:ascii="MS Reference Sans Serif" w:hAnsi="MS Reference Sans Serif"/>
          <w:sz w:val="24"/>
          <w:szCs w:val="24"/>
        </w:rPr>
      </w:pPr>
      <w:r w:rsidRPr="00CE20EF">
        <w:rPr>
          <w:rFonts w:ascii="MS Reference Sans Serif" w:hAnsi="MS Reference Sans Serif"/>
          <w:sz w:val="24"/>
          <w:szCs w:val="24"/>
        </w:rPr>
        <w:t xml:space="preserve">Se complica externalizarla y difundirla en sociedades modernas con culturas antiguas compuestas, como Guatemala. Ya que quizás se den ciertos casos donde se le tipifiquen como ausencia de Estado cuando es más un choque de modelos mentales institucionalizados. </w:t>
      </w:r>
    </w:p>
    <w:p w:rsidR="00CE20EF" w:rsidRPr="00CE20EF" w:rsidRDefault="00CE20EF" w:rsidP="001D26AD">
      <w:pPr>
        <w:spacing w:line="360" w:lineRule="auto"/>
        <w:jc w:val="both"/>
        <w:rPr>
          <w:rFonts w:ascii="MS Reference Sans Serif" w:hAnsi="MS Reference Sans Serif"/>
          <w:sz w:val="24"/>
          <w:szCs w:val="24"/>
        </w:rPr>
      </w:pPr>
    </w:p>
    <w:p w:rsidR="00CE20EF" w:rsidRPr="00CE20EF" w:rsidRDefault="00367CD5" w:rsidP="001D26AD">
      <w:pPr>
        <w:spacing w:line="360" w:lineRule="auto"/>
        <w:jc w:val="both"/>
        <w:rPr>
          <w:rFonts w:ascii="MS Reference Sans Serif" w:hAnsi="MS Reference Sans Serif"/>
          <w:sz w:val="24"/>
          <w:szCs w:val="24"/>
        </w:rPr>
      </w:pPr>
      <w:r>
        <w:rPr>
          <w:rFonts w:ascii="MS Reference Sans Serif" w:hAnsi="MS Reference Sans Serif"/>
          <w:sz w:val="24"/>
          <w:szCs w:val="24"/>
        </w:rPr>
        <w:t>Bajo estas tres teorías</w:t>
      </w:r>
      <w:r w:rsidR="00CE20EF" w:rsidRPr="00CE20EF">
        <w:rPr>
          <w:rFonts w:ascii="MS Reference Sans Serif" w:hAnsi="MS Reference Sans Serif"/>
          <w:sz w:val="24"/>
          <w:szCs w:val="24"/>
        </w:rPr>
        <w:t xml:space="preserve"> Carlos Mendoza</w:t>
      </w:r>
      <w:r>
        <w:rPr>
          <w:rFonts w:ascii="MS Reference Sans Serif" w:hAnsi="MS Reference Sans Serif"/>
          <w:sz w:val="24"/>
          <w:szCs w:val="24"/>
        </w:rPr>
        <w:t xml:space="preserve"> las</w:t>
      </w:r>
      <w:r w:rsidR="00CE20EF" w:rsidRPr="00CE20EF">
        <w:rPr>
          <w:rFonts w:ascii="MS Reference Sans Serif" w:hAnsi="MS Reference Sans Serif"/>
          <w:sz w:val="24"/>
          <w:szCs w:val="24"/>
        </w:rPr>
        <w:t xml:space="preserve"> describe mejor en su libro: “Violencia colectiva en Guatemala: una aproximación teórica al problema de los linchamientos”, surge una cuarta como propuesta para definir y prevenir el fenómeno más allá de las causas</w:t>
      </w:r>
      <w:r w:rsidR="00CE20EF">
        <w:rPr>
          <w:rFonts w:ascii="MS Reference Sans Serif" w:hAnsi="MS Reference Sans Serif"/>
          <w:sz w:val="24"/>
          <w:szCs w:val="24"/>
        </w:rPr>
        <w:t xml:space="preserve"> del CAI y pobreza.</w:t>
      </w:r>
    </w:p>
    <w:p w:rsidR="00CE20EF" w:rsidRPr="00194A75" w:rsidRDefault="00CE20EF" w:rsidP="001D26AD">
      <w:pPr>
        <w:pStyle w:val="Ttulo1"/>
        <w:numPr>
          <w:ilvl w:val="1"/>
          <w:numId w:val="4"/>
        </w:numPr>
        <w:spacing w:line="360" w:lineRule="auto"/>
        <w:rPr>
          <w:color w:val="7F7F7F" w:themeColor="text1" w:themeTint="80"/>
        </w:rPr>
      </w:pPr>
      <w:bookmarkStart w:id="6" w:name="_Toc369732054"/>
      <w:r w:rsidRPr="00194A75">
        <w:rPr>
          <w:color w:val="7F7F7F" w:themeColor="text1" w:themeTint="80"/>
        </w:rPr>
        <w:lastRenderedPageBreak/>
        <w:t>Teoría de Intercambio (colectivo)</w:t>
      </w:r>
      <w:bookmarkEnd w:id="6"/>
    </w:p>
    <w:p w:rsidR="00F56C80" w:rsidRDefault="00CE20EF" w:rsidP="001D26AD">
      <w:pPr>
        <w:spacing w:line="360" w:lineRule="auto"/>
        <w:jc w:val="both"/>
        <w:rPr>
          <w:rFonts w:ascii="MS Reference Sans Serif" w:hAnsi="MS Reference Sans Serif"/>
          <w:sz w:val="24"/>
          <w:szCs w:val="24"/>
        </w:rPr>
      </w:pPr>
      <w:r w:rsidRPr="00CE20EF">
        <w:rPr>
          <w:rFonts w:ascii="MS Reference Sans Serif" w:hAnsi="MS Reference Sans Serif"/>
          <w:sz w:val="24"/>
          <w:szCs w:val="24"/>
        </w:rPr>
        <w:t>La aceptación que busca un individuo se localiza en las relaciones sociales y las interacciones colectivas no son la excepción, porque en ella también se establecen relaciones, en serie. El interés personal del individuo para adquirir aceptación por parte del grupo genera actos de posicionamiento y reconocimiento. Un ejemplo es que al liderar un linchamiento por mucho que se reconozca como fenómeno social, partió de un individuo que tuvo el interés de permanecer y conso</w:t>
      </w:r>
      <w:r w:rsidR="00F56C80">
        <w:rPr>
          <w:rFonts w:ascii="MS Reference Sans Serif" w:hAnsi="MS Reference Sans Serif"/>
          <w:sz w:val="24"/>
          <w:szCs w:val="24"/>
        </w:rPr>
        <w:t>lidar su relación con el grupo.</w:t>
      </w:r>
    </w:p>
    <w:p w:rsidR="00F56C80" w:rsidRDefault="00F56C80" w:rsidP="001D26AD">
      <w:pPr>
        <w:spacing w:line="360" w:lineRule="auto"/>
        <w:jc w:val="both"/>
        <w:rPr>
          <w:rFonts w:ascii="MS Reference Sans Serif" w:hAnsi="MS Reference Sans Serif"/>
          <w:sz w:val="24"/>
          <w:szCs w:val="24"/>
        </w:rPr>
      </w:pPr>
    </w:p>
    <w:p w:rsidR="00F56C80" w:rsidRDefault="00CE20EF" w:rsidP="001D26AD">
      <w:pPr>
        <w:spacing w:line="360" w:lineRule="auto"/>
        <w:jc w:val="both"/>
        <w:rPr>
          <w:rFonts w:ascii="MS Reference Sans Serif" w:hAnsi="MS Reference Sans Serif"/>
          <w:sz w:val="24"/>
          <w:szCs w:val="24"/>
        </w:rPr>
      </w:pPr>
      <w:r w:rsidRPr="00CE20EF">
        <w:rPr>
          <w:rFonts w:ascii="MS Reference Sans Serif" w:hAnsi="MS Reference Sans Serif"/>
          <w:sz w:val="24"/>
          <w:szCs w:val="24"/>
        </w:rPr>
        <w:t>La consolidación se genera con los individuos más cercanos, con los que comparte un micro modelo mental de la comunidad a diferencia de los más lejanos con macro modelos mentales que no son de su alcance y q</w:t>
      </w:r>
      <w:r w:rsidR="00C11BED">
        <w:rPr>
          <w:rFonts w:ascii="MS Reference Sans Serif" w:hAnsi="MS Reference Sans Serif"/>
          <w:sz w:val="24"/>
          <w:szCs w:val="24"/>
        </w:rPr>
        <w:t>ue no percibe cara a cara.</w:t>
      </w:r>
    </w:p>
    <w:p w:rsidR="00D852AA" w:rsidRDefault="00D852AA" w:rsidP="001D26AD">
      <w:pPr>
        <w:spacing w:line="360" w:lineRule="auto"/>
        <w:jc w:val="both"/>
        <w:rPr>
          <w:rFonts w:ascii="MS Reference Sans Serif" w:hAnsi="MS Reference Sans Serif"/>
          <w:sz w:val="24"/>
          <w:szCs w:val="24"/>
        </w:rPr>
      </w:pPr>
    </w:p>
    <w:p w:rsidR="00D852AA" w:rsidRDefault="00D852AA" w:rsidP="001D26AD">
      <w:pPr>
        <w:spacing w:line="360" w:lineRule="auto"/>
        <w:jc w:val="both"/>
        <w:rPr>
          <w:rFonts w:ascii="MS Reference Sans Serif" w:hAnsi="MS Reference Sans Serif"/>
          <w:sz w:val="24"/>
          <w:szCs w:val="24"/>
        </w:rPr>
      </w:pPr>
      <w:r>
        <w:rPr>
          <w:rFonts w:ascii="MS Reference Sans Serif" w:hAnsi="MS Reference Sans Serif"/>
          <w:sz w:val="24"/>
          <w:szCs w:val="24"/>
        </w:rPr>
        <w:t>Al describir las principales</w:t>
      </w:r>
      <w:r w:rsidRPr="00D852AA">
        <w:rPr>
          <w:rFonts w:ascii="MS Reference Sans Serif" w:hAnsi="MS Reference Sans Serif"/>
          <w:sz w:val="24"/>
          <w:szCs w:val="24"/>
        </w:rPr>
        <w:t xml:space="preserve"> causas</w:t>
      </w:r>
      <w:r>
        <w:rPr>
          <w:rFonts w:ascii="MS Reference Sans Serif" w:hAnsi="MS Reference Sans Serif"/>
          <w:sz w:val="24"/>
          <w:szCs w:val="24"/>
        </w:rPr>
        <w:t>, las teorías</w:t>
      </w:r>
      <w:r w:rsidRPr="00D852AA">
        <w:rPr>
          <w:rFonts w:ascii="MS Reference Sans Serif" w:hAnsi="MS Reference Sans Serif"/>
          <w:sz w:val="24"/>
          <w:szCs w:val="24"/>
        </w:rPr>
        <w:t xml:space="preserve"> y</w:t>
      </w:r>
      <w:r>
        <w:rPr>
          <w:rFonts w:ascii="MS Reference Sans Serif" w:hAnsi="MS Reference Sans Serif"/>
          <w:sz w:val="24"/>
          <w:szCs w:val="24"/>
        </w:rPr>
        <w:t xml:space="preserve"> las</w:t>
      </w:r>
      <w:r w:rsidRPr="00D852AA">
        <w:rPr>
          <w:rFonts w:ascii="MS Reference Sans Serif" w:hAnsi="MS Reference Sans Serif"/>
          <w:sz w:val="24"/>
          <w:szCs w:val="24"/>
        </w:rPr>
        <w:t xml:space="preserve"> propuestas</w:t>
      </w:r>
      <w:r>
        <w:rPr>
          <w:rFonts w:ascii="MS Reference Sans Serif" w:hAnsi="MS Reference Sans Serif"/>
          <w:sz w:val="24"/>
          <w:szCs w:val="24"/>
        </w:rPr>
        <w:t xml:space="preserve"> sobre el fenómeno de</w:t>
      </w:r>
      <w:r w:rsidRPr="00D852AA">
        <w:rPr>
          <w:rFonts w:ascii="MS Reference Sans Serif" w:hAnsi="MS Reference Sans Serif"/>
          <w:sz w:val="24"/>
          <w:szCs w:val="24"/>
        </w:rPr>
        <w:t xml:space="preserve"> los linchamientos, el énfasis incurre en Roberta </w:t>
      </w:r>
      <w:proofErr w:type="spellStart"/>
      <w:r w:rsidRPr="00D852AA">
        <w:rPr>
          <w:rFonts w:ascii="MS Reference Sans Serif" w:hAnsi="MS Reference Sans Serif"/>
          <w:sz w:val="24"/>
          <w:szCs w:val="24"/>
        </w:rPr>
        <w:t>Senechal</w:t>
      </w:r>
      <w:proofErr w:type="spellEnd"/>
      <w:r w:rsidRPr="00D852AA">
        <w:rPr>
          <w:rFonts w:ascii="MS Reference Sans Serif" w:hAnsi="MS Reference Sans Serif"/>
          <w:sz w:val="24"/>
          <w:szCs w:val="24"/>
        </w:rPr>
        <w:t xml:space="preserve"> de la Roche, quién facilita una respuesta de comprensión</w:t>
      </w:r>
      <w:r>
        <w:rPr>
          <w:rFonts w:ascii="MS Reference Sans Serif" w:hAnsi="MS Reference Sans Serif"/>
          <w:sz w:val="24"/>
          <w:szCs w:val="24"/>
        </w:rPr>
        <w:t xml:space="preserve"> y conc</w:t>
      </w:r>
      <w:r w:rsidR="00CE4B7F">
        <w:rPr>
          <w:rFonts w:ascii="MS Reference Sans Serif" w:hAnsi="MS Reference Sans Serif"/>
          <w:sz w:val="24"/>
          <w:szCs w:val="24"/>
        </w:rPr>
        <w:t>eptualización</w:t>
      </w:r>
      <w:r w:rsidRPr="00D852AA">
        <w:rPr>
          <w:rFonts w:ascii="MS Reference Sans Serif" w:hAnsi="MS Reference Sans Serif"/>
          <w:sz w:val="24"/>
          <w:szCs w:val="24"/>
        </w:rPr>
        <w:t xml:space="preserve"> integral; a travé</w:t>
      </w:r>
      <w:r w:rsidR="00CE4B7F">
        <w:rPr>
          <w:rFonts w:ascii="MS Reference Sans Serif" w:hAnsi="MS Reference Sans Serif"/>
          <w:sz w:val="24"/>
          <w:szCs w:val="24"/>
        </w:rPr>
        <w:t xml:space="preserve">s de la estructura </w:t>
      </w:r>
      <w:r w:rsidRPr="00D852AA">
        <w:rPr>
          <w:rFonts w:ascii="MS Reference Sans Serif" w:hAnsi="MS Reference Sans Serif"/>
          <w:sz w:val="24"/>
          <w:szCs w:val="24"/>
        </w:rPr>
        <w:t>social</w:t>
      </w:r>
      <w:r w:rsidR="00CE4B7F">
        <w:rPr>
          <w:rFonts w:ascii="MS Reference Sans Serif" w:hAnsi="MS Reference Sans Serif"/>
          <w:sz w:val="24"/>
          <w:szCs w:val="24"/>
        </w:rPr>
        <w:t xml:space="preserve"> del conflicto</w:t>
      </w:r>
      <w:r w:rsidRPr="00D852AA">
        <w:rPr>
          <w:rFonts w:ascii="MS Reference Sans Serif" w:hAnsi="MS Reference Sans Serif"/>
          <w:sz w:val="24"/>
          <w:szCs w:val="24"/>
        </w:rPr>
        <w:t>.</w:t>
      </w:r>
    </w:p>
    <w:p w:rsidR="00C11BED" w:rsidRPr="00194A75" w:rsidRDefault="00C775A0" w:rsidP="001D26AD">
      <w:pPr>
        <w:pStyle w:val="Ttulo1"/>
        <w:numPr>
          <w:ilvl w:val="0"/>
          <w:numId w:val="4"/>
        </w:numPr>
        <w:spacing w:line="360" w:lineRule="auto"/>
        <w:rPr>
          <w:color w:val="7F7F7F" w:themeColor="text1" w:themeTint="80"/>
        </w:rPr>
      </w:pPr>
      <w:bookmarkStart w:id="7" w:name="_Toc369732055"/>
      <w:r w:rsidRPr="00194A75">
        <w:rPr>
          <w:color w:val="7F7F7F" w:themeColor="text1" w:themeTint="80"/>
        </w:rPr>
        <w:t>(Re) Construcción: La v</w:t>
      </w:r>
      <w:r w:rsidR="009173F3" w:rsidRPr="00194A75">
        <w:rPr>
          <w:color w:val="7F7F7F" w:themeColor="text1" w:themeTint="80"/>
        </w:rPr>
        <w:t>iolencia colectiva o e</w:t>
      </w:r>
      <w:r w:rsidR="00C11BED" w:rsidRPr="00194A75">
        <w:rPr>
          <w:color w:val="7F7F7F" w:themeColor="text1" w:themeTint="80"/>
        </w:rPr>
        <w:t>structura social del conflicto</w:t>
      </w:r>
      <w:bookmarkEnd w:id="7"/>
    </w:p>
    <w:p w:rsidR="007819C0" w:rsidRDefault="00D852AA" w:rsidP="001D26AD">
      <w:pPr>
        <w:spacing w:line="360" w:lineRule="auto"/>
        <w:jc w:val="both"/>
        <w:rPr>
          <w:rFonts w:ascii="MS Reference Sans Serif" w:hAnsi="MS Reference Sans Serif"/>
          <w:sz w:val="24"/>
          <w:szCs w:val="24"/>
        </w:rPr>
      </w:pPr>
      <w:r>
        <w:rPr>
          <w:rFonts w:ascii="MS Reference Sans Serif" w:hAnsi="MS Reference Sans Serif"/>
          <w:sz w:val="24"/>
          <w:szCs w:val="24"/>
        </w:rPr>
        <w:t xml:space="preserve">Roberta </w:t>
      </w:r>
      <w:proofErr w:type="spellStart"/>
      <w:r>
        <w:rPr>
          <w:rFonts w:ascii="MS Reference Sans Serif" w:hAnsi="MS Reference Sans Serif"/>
          <w:sz w:val="24"/>
          <w:szCs w:val="24"/>
        </w:rPr>
        <w:t>Senechal</w:t>
      </w:r>
      <w:proofErr w:type="spellEnd"/>
      <w:r>
        <w:rPr>
          <w:rFonts w:ascii="MS Reference Sans Serif" w:hAnsi="MS Reference Sans Serif"/>
          <w:sz w:val="24"/>
          <w:szCs w:val="24"/>
        </w:rPr>
        <w:t xml:space="preserve"> de la Roche reconoce a los linchamientos como una clasificación dentro del concepto de violencia colectiva. </w:t>
      </w:r>
      <w:r w:rsidR="00F56C80" w:rsidRPr="00F56C80">
        <w:rPr>
          <w:rFonts w:ascii="MS Reference Sans Serif" w:hAnsi="MS Reference Sans Serif"/>
          <w:sz w:val="24"/>
          <w:szCs w:val="24"/>
        </w:rPr>
        <w:t>La vi</w:t>
      </w:r>
      <w:r w:rsidR="00F56C80">
        <w:rPr>
          <w:rFonts w:ascii="MS Reference Sans Serif" w:hAnsi="MS Reference Sans Serif"/>
          <w:sz w:val="24"/>
          <w:szCs w:val="24"/>
        </w:rPr>
        <w:t>olencia colectiva es a menudo</w:t>
      </w:r>
      <w:r w:rsidR="007961F8">
        <w:rPr>
          <w:rFonts w:ascii="MS Reference Sans Serif" w:hAnsi="MS Reference Sans Serif"/>
          <w:sz w:val="24"/>
          <w:szCs w:val="24"/>
        </w:rPr>
        <w:t xml:space="preserve"> control social: la</w:t>
      </w:r>
      <w:r w:rsidR="00F56C80" w:rsidRPr="00F56C80">
        <w:rPr>
          <w:rFonts w:ascii="MS Reference Sans Serif" w:hAnsi="MS Reference Sans Serif"/>
          <w:sz w:val="24"/>
          <w:szCs w:val="24"/>
        </w:rPr>
        <w:t xml:space="preserve"> auto-ayuda</w:t>
      </w:r>
      <w:r w:rsidR="002D474A">
        <w:rPr>
          <w:rFonts w:ascii="MS Reference Sans Serif" w:hAnsi="MS Reference Sans Serif"/>
          <w:sz w:val="24"/>
          <w:szCs w:val="24"/>
        </w:rPr>
        <w:t xml:space="preserve"> de un grupo</w:t>
      </w:r>
      <w:r w:rsidR="00526FC4">
        <w:rPr>
          <w:rFonts w:ascii="MS Reference Sans Serif" w:hAnsi="MS Reference Sans Serif"/>
          <w:sz w:val="24"/>
          <w:szCs w:val="24"/>
        </w:rPr>
        <w:t xml:space="preserve"> </w:t>
      </w:r>
      <w:sdt>
        <w:sdtPr>
          <w:rPr>
            <w:rFonts w:ascii="MS Reference Sans Serif" w:hAnsi="MS Reference Sans Serif"/>
            <w:sz w:val="24"/>
            <w:szCs w:val="24"/>
          </w:rPr>
          <w:id w:val="9614971"/>
          <w:citation/>
        </w:sdtPr>
        <w:sdtContent>
          <w:r w:rsidR="004D000D">
            <w:rPr>
              <w:rFonts w:ascii="MS Reference Sans Serif" w:hAnsi="MS Reference Sans Serif"/>
              <w:sz w:val="24"/>
              <w:szCs w:val="24"/>
            </w:rPr>
            <w:fldChar w:fldCharType="begin"/>
          </w:r>
          <w:r w:rsidR="00526FC4">
            <w:rPr>
              <w:rFonts w:ascii="MS Reference Sans Serif" w:hAnsi="MS Reference Sans Serif"/>
              <w:sz w:val="24"/>
              <w:szCs w:val="24"/>
              <w:lang w:val="es-ES_tradnl"/>
            </w:rPr>
            <w:instrText xml:space="preserve"> CITATION Roc96 \l 1034 </w:instrText>
          </w:r>
          <w:r w:rsidR="004D000D">
            <w:rPr>
              <w:rFonts w:ascii="MS Reference Sans Serif" w:hAnsi="MS Reference Sans Serif"/>
              <w:sz w:val="24"/>
              <w:szCs w:val="24"/>
            </w:rPr>
            <w:fldChar w:fldCharType="separate"/>
          </w:r>
          <w:r w:rsidR="00526FC4" w:rsidRPr="00526FC4">
            <w:rPr>
              <w:rFonts w:ascii="MS Reference Sans Serif" w:hAnsi="MS Reference Sans Serif"/>
              <w:noProof/>
              <w:sz w:val="24"/>
              <w:szCs w:val="24"/>
              <w:lang w:val="es-ES_tradnl"/>
            </w:rPr>
            <w:t>(Roche, 1996)</w:t>
          </w:r>
          <w:r w:rsidR="004D000D">
            <w:rPr>
              <w:rFonts w:ascii="MS Reference Sans Serif" w:hAnsi="MS Reference Sans Serif"/>
              <w:sz w:val="24"/>
              <w:szCs w:val="24"/>
            </w:rPr>
            <w:fldChar w:fldCharType="end"/>
          </w:r>
        </w:sdtContent>
      </w:sdt>
      <w:r w:rsidR="002D474A">
        <w:rPr>
          <w:rFonts w:ascii="MS Reference Sans Serif" w:hAnsi="MS Reference Sans Serif"/>
          <w:sz w:val="24"/>
          <w:szCs w:val="24"/>
        </w:rPr>
        <w:t xml:space="preserve"> y agrega como categorías a l</w:t>
      </w:r>
      <w:r w:rsidR="00112F11">
        <w:rPr>
          <w:rFonts w:ascii="MS Reference Sans Serif" w:hAnsi="MS Reference Sans Serif"/>
          <w:sz w:val="24"/>
          <w:szCs w:val="24"/>
        </w:rPr>
        <w:t>os vapuleos, el vigilantismo y a</w:t>
      </w:r>
      <w:r w:rsidR="002D474A">
        <w:rPr>
          <w:rFonts w:ascii="MS Reference Sans Serif" w:hAnsi="MS Reference Sans Serif"/>
          <w:sz w:val="24"/>
          <w:szCs w:val="24"/>
        </w:rPr>
        <w:t>l terrorismo</w:t>
      </w:r>
      <w:r w:rsidR="002147C9">
        <w:rPr>
          <w:rStyle w:val="Refdenotaalpie"/>
          <w:rFonts w:ascii="MS Reference Sans Serif" w:hAnsi="MS Reference Sans Serif"/>
          <w:sz w:val="24"/>
          <w:szCs w:val="24"/>
        </w:rPr>
        <w:footnoteReference w:id="1"/>
      </w:r>
      <w:r w:rsidR="002D474A">
        <w:rPr>
          <w:rFonts w:ascii="MS Reference Sans Serif" w:hAnsi="MS Reference Sans Serif"/>
          <w:sz w:val="24"/>
          <w:szCs w:val="24"/>
        </w:rPr>
        <w:t>.</w:t>
      </w:r>
    </w:p>
    <w:p w:rsidR="002D474A" w:rsidRDefault="002D474A" w:rsidP="001D26AD">
      <w:pPr>
        <w:spacing w:line="360" w:lineRule="auto"/>
        <w:jc w:val="both"/>
        <w:rPr>
          <w:rFonts w:ascii="MS Reference Sans Serif" w:hAnsi="MS Reference Sans Serif"/>
          <w:sz w:val="24"/>
          <w:szCs w:val="24"/>
        </w:rPr>
      </w:pPr>
    </w:p>
    <w:p w:rsidR="002D474A" w:rsidRPr="002E62FF" w:rsidRDefault="002D474A" w:rsidP="002E62FF">
      <w:pPr>
        <w:spacing w:line="360" w:lineRule="auto"/>
        <w:jc w:val="both"/>
        <w:rPr>
          <w:rFonts w:ascii="MS Reference Sans Serif" w:hAnsi="MS Reference Sans Serif"/>
          <w:sz w:val="24"/>
          <w:szCs w:val="24"/>
        </w:rPr>
      </w:pPr>
      <w:r w:rsidRPr="002D474A">
        <w:rPr>
          <w:rFonts w:ascii="MS Reference Sans Serif" w:hAnsi="MS Reference Sans Serif"/>
          <w:sz w:val="24"/>
          <w:szCs w:val="24"/>
        </w:rPr>
        <w:t>La estructura ve más allá de lo establecido y re</w:t>
      </w:r>
      <w:r w:rsidR="00904390">
        <w:rPr>
          <w:rFonts w:ascii="MS Reference Sans Serif" w:hAnsi="MS Reference Sans Serif"/>
          <w:sz w:val="24"/>
          <w:szCs w:val="24"/>
        </w:rPr>
        <w:t>lacionado con los linchamientos</w:t>
      </w:r>
      <w:r w:rsidRPr="002D474A">
        <w:rPr>
          <w:rFonts w:ascii="MS Reference Sans Serif" w:hAnsi="MS Reference Sans Serif"/>
          <w:sz w:val="24"/>
          <w:szCs w:val="24"/>
        </w:rPr>
        <w:t xml:space="preserve"> para reinterpretar las causas</w:t>
      </w:r>
      <w:r w:rsidR="00904390">
        <w:rPr>
          <w:rFonts w:ascii="MS Reference Sans Serif" w:hAnsi="MS Reference Sans Serif"/>
          <w:sz w:val="24"/>
          <w:szCs w:val="24"/>
        </w:rPr>
        <w:t xml:space="preserve"> del fenómeno</w:t>
      </w:r>
      <w:r w:rsidRPr="002D474A">
        <w:rPr>
          <w:rFonts w:ascii="MS Reference Sans Serif" w:hAnsi="MS Reference Sans Serif"/>
          <w:sz w:val="24"/>
          <w:szCs w:val="24"/>
        </w:rPr>
        <w:t>. Soporta el axioma, que la violencia colectiva varía según su ubicación y dirección en el espacio social y dentro ese espacio, de acuerdo a los niveles de las características, residen los linchamientos. No sólo es el bajo IDH o la militarización de la violencia. La combinación se refiere a cuatro características intercaladas entre sí</w:t>
      </w:r>
      <w:r w:rsidR="002E62FF">
        <w:rPr>
          <w:rFonts w:ascii="MS Reference Sans Serif" w:hAnsi="MS Reference Sans Serif"/>
          <w:sz w:val="24"/>
          <w:szCs w:val="24"/>
        </w:rPr>
        <w:t xml:space="preserve"> -d</w:t>
      </w:r>
      <w:r w:rsidRPr="002E62FF">
        <w:rPr>
          <w:rFonts w:ascii="MS Reference Sans Serif" w:hAnsi="MS Reference Sans Serif"/>
          <w:sz w:val="24"/>
          <w:szCs w:val="24"/>
        </w:rPr>
        <w:t>istancia relacional</w:t>
      </w:r>
      <w:r w:rsidR="002E62FF">
        <w:rPr>
          <w:rFonts w:ascii="MS Reference Sans Serif" w:hAnsi="MS Reference Sans Serif"/>
          <w:sz w:val="24"/>
          <w:szCs w:val="24"/>
        </w:rPr>
        <w:t>, d</w:t>
      </w:r>
      <w:r w:rsidRPr="002E62FF">
        <w:rPr>
          <w:rFonts w:ascii="MS Reference Sans Serif" w:hAnsi="MS Reference Sans Serif"/>
          <w:sz w:val="24"/>
          <w:szCs w:val="24"/>
        </w:rPr>
        <w:t>istancia cultural</w:t>
      </w:r>
      <w:r w:rsidR="002E62FF">
        <w:rPr>
          <w:rFonts w:ascii="MS Reference Sans Serif" w:hAnsi="MS Reference Sans Serif"/>
          <w:sz w:val="24"/>
          <w:szCs w:val="24"/>
        </w:rPr>
        <w:t>, i</w:t>
      </w:r>
      <w:r w:rsidRPr="002E62FF">
        <w:rPr>
          <w:rFonts w:ascii="MS Reference Sans Serif" w:hAnsi="MS Reference Sans Serif"/>
          <w:sz w:val="24"/>
          <w:szCs w:val="24"/>
        </w:rPr>
        <w:t>ndependencia funcional</w:t>
      </w:r>
      <w:r w:rsidR="002E62FF">
        <w:rPr>
          <w:rFonts w:ascii="MS Reference Sans Serif" w:hAnsi="MS Reference Sans Serif"/>
          <w:sz w:val="24"/>
          <w:szCs w:val="24"/>
        </w:rPr>
        <w:t>, i</w:t>
      </w:r>
      <w:r w:rsidRPr="002E62FF">
        <w:rPr>
          <w:rFonts w:ascii="MS Reference Sans Serif" w:hAnsi="MS Reference Sans Serif"/>
          <w:sz w:val="24"/>
          <w:szCs w:val="24"/>
        </w:rPr>
        <w:t>nequidad entre adversarios</w:t>
      </w:r>
      <w:r w:rsidR="002E62FF">
        <w:rPr>
          <w:rFonts w:ascii="MS Reference Sans Serif" w:hAnsi="MS Reference Sans Serif"/>
          <w:sz w:val="24"/>
          <w:szCs w:val="24"/>
        </w:rPr>
        <w:t>-</w:t>
      </w:r>
    </w:p>
    <w:p w:rsidR="00904390" w:rsidRPr="002D474A" w:rsidRDefault="00904390" w:rsidP="002D474A">
      <w:pPr>
        <w:spacing w:line="360" w:lineRule="auto"/>
        <w:jc w:val="both"/>
        <w:rPr>
          <w:rFonts w:ascii="MS Reference Sans Serif" w:hAnsi="MS Reference Sans Serif"/>
          <w:sz w:val="24"/>
          <w:szCs w:val="24"/>
        </w:rPr>
      </w:pPr>
    </w:p>
    <w:p w:rsidR="002D474A" w:rsidRDefault="002D474A" w:rsidP="002D474A">
      <w:pPr>
        <w:spacing w:line="360" w:lineRule="auto"/>
        <w:jc w:val="both"/>
        <w:rPr>
          <w:rFonts w:ascii="MS Reference Sans Serif" w:hAnsi="MS Reference Sans Serif"/>
          <w:sz w:val="24"/>
          <w:szCs w:val="24"/>
        </w:rPr>
      </w:pPr>
      <w:r w:rsidRPr="002D474A">
        <w:rPr>
          <w:rFonts w:ascii="MS Reference Sans Serif" w:hAnsi="MS Reference Sans Serif"/>
          <w:sz w:val="24"/>
          <w:szCs w:val="24"/>
        </w:rPr>
        <w:t xml:space="preserve">Donde cada una de las cuatro formas depende del grado de polarización social entre las partes, así como la continuidad de la conducta desviada a la que responde a la violencia. </w:t>
      </w:r>
    </w:p>
    <w:p w:rsidR="00526FC4" w:rsidRPr="002D474A" w:rsidRDefault="00526FC4" w:rsidP="002D474A">
      <w:pPr>
        <w:spacing w:line="360" w:lineRule="auto"/>
        <w:jc w:val="both"/>
        <w:rPr>
          <w:rFonts w:ascii="MS Reference Sans Serif" w:hAnsi="MS Reference Sans Serif"/>
          <w:sz w:val="24"/>
          <w:szCs w:val="24"/>
        </w:rPr>
      </w:pPr>
    </w:p>
    <w:p w:rsidR="002D474A" w:rsidRDefault="002D474A" w:rsidP="002D474A">
      <w:pPr>
        <w:spacing w:line="360" w:lineRule="auto"/>
        <w:jc w:val="both"/>
        <w:rPr>
          <w:rFonts w:ascii="MS Reference Sans Serif" w:hAnsi="MS Reference Sans Serif"/>
          <w:sz w:val="24"/>
          <w:szCs w:val="24"/>
        </w:rPr>
      </w:pPr>
      <w:r w:rsidRPr="002D474A">
        <w:rPr>
          <w:rFonts w:ascii="MS Reference Sans Serif" w:hAnsi="MS Reference Sans Serif"/>
          <w:sz w:val="24"/>
          <w:szCs w:val="24"/>
        </w:rPr>
        <w:t>Es de aclarar que “existen formas violentas como insultos, burlas, críticas y protestas, así como el vandalismo, incendios y otros daños a la propiedad que pueden analizarse bajo estas características También las maneras no violentas y formas bilaterales, como peleas, venganzas, guerra y violencia gubernamental de todo tipo,” (Roche, 1996, pág. 102) que no se incluyen en esta interpretación. Solo la forma y la cantidad de control social que se produce en los linchamientos se visibilizan en la propuesta, para deconstruir el paradigma de los linchamientos en áreas rurales pobres, envolver al área urbana entre las causas de estos fenómenos sociales.</w:t>
      </w:r>
    </w:p>
    <w:p w:rsidR="004478D2" w:rsidRPr="002D474A" w:rsidRDefault="004478D2" w:rsidP="002D474A">
      <w:pPr>
        <w:spacing w:line="360" w:lineRule="auto"/>
        <w:jc w:val="both"/>
        <w:rPr>
          <w:rFonts w:ascii="MS Reference Sans Serif" w:hAnsi="MS Reference Sans Serif"/>
          <w:sz w:val="24"/>
          <w:szCs w:val="24"/>
        </w:rPr>
      </w:pPr>
    </w:p>
    <w:p w:rsidR="004478D2" w:rsidRDefault="002D474A" w:rsidP="002D474A">
      <w:pPr>
        <w:spacing w:line="360" w:lineRule="auto"/>
        <w:jc w:val="both"/>
        <w:rPr>
          <w:rFonts w:ascii="MS Reference Sans Serif" w:hAnsi="MS Reference Sans Serif"/>
          <w:sz w:val="24"/>
          <w:szCs w:val="24"/>
        </w:rPr>
      </w:pPr>
      <w:r w:rsidRPr="002D474A">
        <w:rPr>
          <w:rFonts w:ascii="MS Reference Sans Serif" w:hAnsi="MS Reference Sans Serif"/>
          <w:sz w:val="24"/>
          <w:szCs w:val="24"/>
        </w:rPr>
        <w:t>La tesis reside en que el tipo de violencia colectiva depende de la ubicación social y la dirección del conflicto</w:t>
      </w:r>
      <w:r w:rsidR="00C16ECD">
        <w:rPr>
          <w:rFonts w:ascii="MS Reference Sans Serif" w:hAnsi="MS Reference Sans Serif"/>
          <w:sz w:val="24"/>
          <w:szCs w:val="24"/>
        </w:rPr>
        <w:t xml:space="preserve"> (</w:t>
      </w:r>
      <w:r w:rsidR="00C16ECD" w:rsidRPr="00C16ECD">
        <w:rPr>
          <w:rFonts w:ascii="MS Reference Sans Serif" w:hAnsi="MS Reference Sans Serif"/>
          <w:b/>
          <w:color w:val="7F7F7F" w:themeColor="text1" w:themeTint="80"/>
        </w:rPr>
        <w:t>Ver tabla 6</w:t>
      </w:r>
      <w:r w:rsidR="00C16ECD">
        <w:rPr>
          <w:rFonts w:ascii="MS Reference Sans Serif" w:hAnsi="MS Reference Sans Serif"/>
          <w:sz w:val="24"/>
          <w:szCs w:val="24"/>
        </w:rPr>
        <w:t>)</w:t>
      </w:r>
      <w:r w:rsidRPr="002D474A">
        <w:rPr>
          <w:rFonts w:ascii="MS Reference Sans Serif" w:hAnsi="MS Reference Sans Serif"/>
          <w:sz w:val="24"/>
          <w:szCs w:val="24"/>
        </w:rPr>
        <w:t xml:space="preserve">: la posición relativa de todas las partes; como si son iguales o sugiere la desigualdad, o un extraño, y culturalmente similares de diferentes. (Roche, 1996, pág. 103). De la Roche </w:t>
      </w:r>
      <w:r w:rsidRPr="002D474A">
        <w:rPr>
          <w:rFonts w:ascii="MS Reference Sans Serif" w:hAnsi="MS Reference Sans Serif"/>
          <w:sz w:val="24"/>
          <w:szCs w:val="24"/>
        </w:rPr>
        <w:lastRenderedPageBreak/>
        <w:t>expone como deducción que a menor organización social y una baja responsabilidad social, se da el escenario para los linchamientos.</w:t>
      </w:r>
      <w:r w:rsidR="004478D2">
        <w:rPr>
          <w:rFonts w:ascii="MS Reference Sans Serif" w:hAnsi="MS Reference Sans Serif"/>
          <w:sz w:val="24"/>
          <w:szCs w:val="24"/>
        </w:rPr>
        <w:t xml:space="preserve"> </w:t>
      </w:r>
    </w:p>
    <w:p w:rsidR="004478D2" w:rsidRDefault="004478D2" w:rsidP="002D474A">
      <w:pPr>
        <w:spacing w:line="360" w:lineRule="auto"/>
        <w:jc w:val="both"/>
        <w:rPr>
          <w:rFonts w:ascii="MS Reference Sans Serif" w:hAnsi="MS Reference Sans Serif"/>
          <w:sz w:val="24"/>
          <w:szCs w:val="24"/>
        </w:rPr>
      </w:pPr>
    </w:p>
    <w:p w:rsidR="004478D2" w:rsidRPr="00822C72" w:rsidRDefault="00C16ECD" w:rsidP="00822C72">
      <w:pPr>
        <w:spacing w:line="360" w:lineRule="auto"/>
        <w:jc w:val="center"/>
        <w:rPr>
          <w:rFonts w:ascii="MS Reference Sans Serif" w:hAnsi="MS Reference Sans Serif"/>
          <w:b/>
          <w:color w:val="7F7F7F" w:themeColor="text1" w:themeTint="80"/>
          <w:sz w:val="24"/>
          <w:szCs w:val="24"/>
        </w:rPr>
      </w:pPr>
      <w:r w:rsidRPr="00C16ECD">
        <w:rPr>
          <w:rFonts w:ascii="MS Reference Sans Serif" w:hAnsi="MS Reference Sans Serif"/>
          <w:b/>
          <w:color w:val="7F7F7F" w:themeColor="text1" w:themeTint="80"/>
          <w:sz w:val="24"/>
          <w:szCs w:val="24"/>
        </w:rPr>
        <w:t>Tabla 6: Estructura social del conflicto</w:t>
      </w:r>
    </w:p>
    <w:p w:rsidR="004478D2" w:rsidRPr="00B66A19" w:rsidRDefault="004D000D" w:rsidP="004478D2">
      <w:pPr>
        <w:spacing w:line="360" w:lineRule="auto"/>
        <w:jc w:val="both"/>
        <w:rPr>
          <w:sz w:val="24"/>
          <w:szCs w:val="24"/>
        </w:rPr>
      </w:pPr>
      <w:r w:rsidRPr="004D000D">
        <w:rPr>
          <w:noProof/>
          <w:sz w:val="24"/>
          <w:szCs w:val="24"/>
          <w:lang w:val="es-GT" w:eastAsia="es-GT"/>
        </w:rPr>
        <w:pict>
          <v:shape id="_x0000_s1039" type="#_x0000_t202" style="position:absolute;left:0;text-align:left;margin-left:156.3pt;margin-top:12.35pt;width:337.45pt;height:21.3pt;z-index:251672576" strokecolor="white [3212]">
            <v:textbox style="mso-next-textbox:#_x0000_s1039">
              <w:txbxContent>
                <w:p w:rsidR="000C7C9A" w:rsidRPr="004C45A3" w:rsidRDefault="000C7C9A" w:rsidP="004478D2">
                  <w:pPr>
                    <w:jc w:val="center"/>
                    <w:rPr>
                      <w:b/>
                      <w:sz w:val="24"/>
                      <w:szCs w:val="24"/>
                      <w:lang w:val="es-MX"/>
                    </w:rPr>
                  </w:pPr>
                  <w:r>
                    <w:rPr>
                      <w:b/>
                      <w:sz w:val="24"/>
                      <w:szCs w:val="24"/>
                      <w:lang w:val="es-MX"/>
                    </w:rPr>
                    <w:t>CONTINUIDAD DE LA CONDUCTA DESVIADA</w:t>
                  </w:r>
                </w:p>
              </w:txbxContent>
            </v:textbox>
          </v:shape>
        </w:pict>
      </w:r>
    </w:p>
    <w:p w:rsidR="004478D2" w:rsidRPr="00B66A19" w:rsidRDefault="004D000D" w:rsidP="004478D2">
      <w:pPr>
        <w:spacing w:line="360" w:lineRule="auto"/>
        <w:jc w:val="both"/>
        <w:rPr>
          <w:sz w:val="24"/>
          <w:szCs w:val="24"/>
        </w:rPr>
      </w:pPr>
      <w:r w:rsidRPr="004D000D">
        <w:rPr>
          <w:noProof/>
          <w:sz w:val="24"/>
          <w:szCs w:val="24"/>
          <w:lang w:val="es-GT" w:eastAsia="es-GT"/>
        </w:rPr>
        <w:pict>
          <v:shape id="_x0000_s1037" type="#_x0000_t202" style="position:absolute;left:0;text-align:left;margin-left:200.2pt;margin-top:17.3pt;width:42.55pt;height:22.55pt;z-index:251670528" strokecolor="white [3212]">
            <v:textbox style="mso-next-textbox:#_x0000_s1037">
              <w:txbxContent>
                <w:p w:rsidR="000C7C9A" w:rsidRPr="004C45A3" w:rsidRDefault="000C7C9A" w:rsidP="004478D2">
                  <w:pPr>
                    <w:jc w:val="center"/>
                    <w:rPr>
                      <w:b/>
                      <w:sz w:val="24"/>
                      <w:szCs w:val="24"/>
                      <w:lang w:val="es-MX"/>
                    </w:rPr>
                  </w:pPr>
                  <w:r w:rsidRPr="004C45A3">
                    <w:rPr>
                      <w:b/>
                      <w:sz w:val="24"/>
                      <w:szCs w:val="24"/>
                      <w:lang w:val="es-MX"/>
                    </w:rPr>
                    <w:t>Alto</w:t>
                  </w:r>
                </w:p>
              </w:txbxContent>
            </v:textbox>
          </v:shape>
        </w:pict>
      </w:r>
      <w:r w:rsidRPr="004D000D">
        <w:rPr>
          <w:noProof/>
          <w:sz w:val="24"/>
          <w:szCs w:val="24"/>
          <w:lang w:val="es-GT" w:eastAsia="es-GT"/>
        </w:rPr>
        <w:pict>
          <v:shape id="_x0000_s1038" type="#_x0000_t202" style="position:absolute;left:0;text-align:left;margin-left:342.4pt;margin-top:17.3pt;width:42.55pt;height:22.55pt;z-index:251671552" strokecolor="white [3212]">
            <v:textbox style="mso-next-textbox:#_x0000_s1038">
              <w:txbxContent>
                <w:p w:rsidR="000C7C9A" w:rsidRPr="004C45A3" w:rsidRDefault="000C7C9A" w:rsidP="004478D2">
                  <w:pPr>
                    <w:jc w:val="center"/>
                    <w:rPr>
                      <w:b/>
                      <w:sz w:val="24"/>
                      <w:szCs w:val="24"/>
                      <w:lang w:val="es-MX"/>
                    </w:rPr>
                  </w:pPr>
                  <w:r w:rsidRPr="004C45A3">
                    <w:rPr>
                      <w:b/>
                      <w:sz w:val="24"/>
                      <w:szCs w:val="24"/>
                      <w:lang w:val="es-MX"/>
                    </w:rPr>
                    <w:t>Bajo</w:t>
                  </w:r>
                </w:p>
              </w:txbxContent>
            </v:textbox>
          </v:shape>
        </w:pict>
      </w:r>
    </w:p>
    <w:p w:rsidR="004478D2" w:rsidRPr="00B66A19" w:rsidRDefault="004D000D" w:rsidP="004478D2">
      <w:pPr>
        <w:spacing w:line="360" w:lineRule="auto"/>
        <w:jc w:val="both"/>
        <w:rPr>
          <w:sz w:val="24"/>
          <w:szCs w:val="24"/>
        </w:rPr>
      </w:pPr>
      <w:r w:rsidRPr="004D000D">
        <w:rPr>
          <w:noProof/>
          <w:sz w:val="24"/>
          <w:szCs w:val="24"/>
          <w:lang w:val="es-GT" w:eastAsia="es-GT"/>
        </w:rPr>
        <w:pict>
          <v:shape id="_x0000_s1036" type="#_x0000_t202" style="position:absolute;left:0;text-align:left;margin-left:36.4pt;margin-top:19.15pt;width:106.7pt;height:50.3pt;z-index:251669504" strokecolor="white [3212]">
            <v:textbox>
              <w:txbxContent>
                <w:p w:rsidR="000C7C9A" w:rsidRPr="004C45A3" w:rsidRDefault="000C7C9A" w:rsidP="004478D2">
                  <w:pPr>
                    <w:jc w:val="center"/>
                    <w:rPr>
                      <w:b/>
                      <w:sz w:val="24"/>
                      <w:szCs w:val="24"/>
                      <w:lang w:val="es-MX"/>
                    </w:rPr>
                  </w:pPr>
                  <w:r w:rsidRPr="004C45A3">
                    <w:rPr>
                      <w:b/>
                      <w:sz w:val="24"/>
                      <w:szCs w:val="24"/>
                      <w:lang w:val="es-MX"/>
                    </w:rPr>
                    <w:t>POLARIZACIÓN SOCIAL</w:t>
                  </w:r>
                </w:p>
              </w:txbxContent>
            </v:textbox>
          </v:shape>
        </w:pict>
      </w:r>
    </w:p>
    <w:tbl>
      <w:tblPr>
        <w:tblStyle w:val="Tablaconcuadrcula"/>
        <w:tblW w:w="0" w:type="auto"/>
        <w:jc w:val="right"/>
        <w:tblBorders>
          <w:top w:val="double" w:sz="4" w:space="0" w:color="auto"/>
          <w:left w:val="double" w:sz="4" w:space="0" w:color="auto"/>
          <w:bottom w:val="double" w:sz="4" w:space="0" w:color="auto"/>
          <w:right w:val="double" w:sz="4" w:space="0" w:color="auto"/>
          <w:insideH w:val="dotted" w:sz="4" w:space="0" w:color="auto"/>
          <w:insideV w:val="none" w:sz="0" w:space="0" w:color="auto"/>
        </w:tblBorders>
        <w:tblLook w:val="04A0"/>
      </w:tblPr>
      <w:tblGrid>
        <w:gridCol w:w="3011"/>
        <w:gridCol w:w="3011"/>
      </w:tblGrid>
      <w:tr w:rsidR="004478D2" w:rsidTr="000C7C9A">
        <w:trPr>
          <w:trHeight w:val="873"/>
          <w:jc w:val="right"/>
        </w:trPr>
        <w:tc>
          <w:tcPr>
            <w:tcW w:w="3011" w:type="dxa"/>
            <w:tcBorders>
              <w:top w:val="double" w:sz="4" w:space="0" w:color="auto"/>
              <w:right w:val="double" w:sz="4" w:space="0" w:color="auto"/>
            </w:tcBorders>
          </w:tcPr>
          <w:p w:rsidR="004478D2" w:rsidRPr="006955A4" w:rsidRDefault="004478D2" w:rsidP="000C7C9A">
            <w:pPr>
              <w:pStyle w:val="Prrafodelista"/>
              <w:spacing w:line="360" w:lineRule="auto"/>
              <w:ind w:left="360"/>
              <w:jc w:val="center"/>
              <w:rPr>
                <w:sz w:val="24"/>
                <w:szCs w:val="24"/>
              </w:rPr>
            </w:pPr>
            <w:r w:rsidRPr="006955A4">
              <w:rPr>
                <w:sz w:val="24"/>
                <w:szCs w:val="24"/>
              </w:rPr>
              <w:t>Mayor</w:t>
            </w:r>
          </w:p>
          <w:p w:rsidR="004478D2" w:rsidRPr="006955A4" w:rsidRDefault="004478D2" w:rsidP="000C7C9A">
            <w:pPr>
              <w:pStyle w:val="Prrafodelista"/>
              <w:spacing w:line="360" w:lineRule="auto"/>
              <w:ind w:left="360"/>
              <w:jc w:val="center"/>
              <w:rPr>
                <w:sz w:val="24"/>
                <w:szCs w:val="24"/>
              </w:rPr>
            </w:pPr>
            <w:r w:rsidRPr="006955A4">
              <w:rPr>
                <w:sz w:val="24"/>
                <w:szCs w:val="24"/>
              </w:rPr>
              <w:t>organización</w:t>
            </w:r>
          </w:p>
        </w:tc>
        <w:tc>
          <w:tcPr>
            <w:tcW w:w="3011" w:type="dxa"/>
            <w:tcBorders>
              <w:top w:val="double" w:sz="4" w:space="0" w:color="auto"/>
              <w:left w:val="double" w:sz="4" w:space="0" w:color="auto"/>
            </w:tcBorders>
          </w:tcPr>
          <w:p w:rsidR="004478D2" w:rsidRPr="006955A4" w:rsidRDefault="004478D2" w:rsidP="000C7C9A">
            <w:pPr>
              <w:pStyle w:val="Prrafodelista"/>
              <w:spacing w:line="360" w:lineRule="auto"/>
              <w:ind w:left="360"/>
              <w:jc w:val="center"/>
              <w:rPr>
                <w:sz w:val="24"/>
                <w:szCs w:val="24"/>
              </w:rPr>
            </w:pPr>
            <w:r w:rsidRPr="006955A4">
              <w:rPr>
                <w:sz w:val="24"/>
                <w:szCs w:val="24"/>
              </w:rPr>
              <w:t>Menor</w:t>
            </w:r>
          </w:p>
          <w:p w:rsidR="004478D2" w:rsidRPr="006955A4" w:rsidRDefault="004478D2" w:rsidP="000C7C9A">
            <w:pPr>
              <w:pStyle w:val="Prrafodelista"/>
              <w:spacing w:line="360" w:lineRule="auto"/>
              <w:ind w:left="360"/>
              <w:jc w:val="center"/>
              <w:rPr>
                <w:sz w:val="24"/>
                <w:szCs w:val="24"/>
              </w:rPr>
            </w:pPr>
            <w:r w:rsidRPr="006955A4">
              <w:rPr>
                <w:sz w:val="24"/>
                <w:szCs w:val="24"/>
              </w:rPr>
              <w:t>organización</w:t>
            </w:r>
          </w:p>
        </w:tc>
      </w:tr>
      <w:tr w:rsidR="004478D2" w:rsidTr="000C7C9A">
        <w:trPr>
          <w:trHeight w:val="1674"/>
          <w:jc w:val="right"/>
        </w:trPr>
        <w:tc>
          <w:tcPr>
            <w:tcW w:w="3011" w:type="dxa"/>
            <w:tcBorders>
              <w:bottom w:val="dotted" w:sz="4" w:space="0" w:color="auto"/>
              <w:right w:val="double" w:sz="4" w:space="0" w:color="auto"/>
            </w:tcBorders>
            <w:vAlign w:val="center"/>
          </w:tcPr>
          <w:p w:rsidR="004478D2" w:rsidRPr="006955A4" w:rsidRDefault="004D000D" w:rsidP="000C7C9A">
            <w:pPr>
              <w:pStyle w:val="Prrafodelista"/>
              <w:spacing w:line="360" w:lineRule="auto"/>
              <w:ind w:left="360"/>
              <w:jc w:val="center"/>
              <w:rPr>
                <w:b/>
                <w:sz w:val="26"/>
                <w:szCs w:val="26"/>
              </w:rPr>
            </w:pPr>
            <w:r w:rsidRPr="004D000D">
              <w:rPr>
                <w:rFonts w:asciiTheme="minorHAnsi" w:hAnsiTheme="minorHAnsi" w:cstheme="minorBidi"/>
                <w:noProof/>
                <w:lang w:val="es-GT" w:eastAsia="es-GT"/>
              </w:rPr>
              <w:pict>
                <v:shape id="_x0000_s1034" type="#_x0000_t202" style="position:absolute;left:0;text-align:left;margin-left:-81.05pt;margin-top:-4pt;width:42.55pt;height:22.55pt;z-index:251667456;mso-position-horizontal-relative:text;mso-position-vertical-relative:text" strokecolor="white [3212]">
                  <v:textbox style="mso-next-textbox:#_x0000_s1034">
                    <w:txbxContent>
                      <w:p w:rsidR="000C7C9A" w:rsidRPr="004C45A3" w:rsidRDefault="000C7C9A" w:rsidP="004478D2">
                        <w:pPr>
                          <w:jc w:val="center"/>
                          <w:rPr>
                            <w:b/>
                            <w:sz w:val="24"/>
                            <w:szCs w:val="24"/>
                            <w:lang w:val="es-MX"/>
                          </w:rPr>
                        </w:pPr>
                        <w:r w:rsidRPr="004C45A3">
                          <w:rPr>
                            <w:b/>
                            <w:sz w:val="24"/>
                            <w:szCs w:val="24"/>
                            <w:lang w:val="es-MX"/>
                          </w:rPr>
                          <w:t>Alto</w:t>
                        </w:r>
                      </w:p>
                    </w:txbxContent>
                  </v:textbox>
                </v:shape>
              </w:pict>
            </w:r>
            <w:r w:rsidR="004478D2" w:rsidRPr="006955A4">
              <w:rPr>
                <w:b/>
                <w:sz w:val="26"/>
                <w:szCs w:val="26"/>
              </w:rPr>
              <w:t>TERRORISMO</w:t>
            </w:r>
          </w:p>
        </w:tc>
        <w:tc>
          <w:tcPr>
            <w:tcW w:w="3011" w:type="dxa"/>
            <w:tcBorders>
              <w:left w:val="double" w:sz="4" w:space="0" w:color="auto"/>
              <w:bottom w:val="dotted" w:sz="4" w:space="0" w:color="auto"/>
            </w:tcBorders>
            <w:vAlign w:val="center"/>
          </w:tcPr>
          <w:p w:rsidR="004478D2" w:rsidRPr="006955A4" w:rsidRDefault="004478D2" w:rsidP="000C7C9A">
            <w:pPr>
              <w:spacing w:line="360" w:lineRule="auto"/>
              <w:jc w:val="center"/>
              <w:rPr>
                <w:b/>
                <w:sz w:val="26"/>
                <w:szCs w:val="26"/>
              </w:rPr>
            </w:pPr>
            <w:r w:rsidRPr="006955A4">
              <w:rPr>
                <w:b/>
                <w:sz w:val="26"/>
                <w:szCs w:val="26"/>
              </w:rPr>
              <w:t>DISTURBIOS</w:t>
            </w:r>
          </w:p>
        </w:tc>
      </w:tr>
      <w:tr w:rsidR="004478D2" w:rsidTr="000C7C9A">
        <w:trPr>
          <w:trHeight w:val="836"/>
          <w:jc w:val="right"/>
        </w:trPr>
        <w:tc>
          <w:tcPr>
            <w:tcW w:w="3011" w:type="dxa"/>
            <w:tcBorders>
              <w:top w:val="dotted" w:sz="4" w:space="0" w:color="auto"/>
              <w:bottom w:val="double" w:sz="4" w:space="0" w:color="auto"/>
              <w:right w:val="double" w:sz="4" w:space="0" w:color="auto"/>
            </w:tcBorders>
          </w:tcPr>
          <w:p w:rsidR="004478D2" w:rsidRPr="006955A4" w:rsidRDefault="004478D2" w:rsidP="000C7C9A">
            <w:pPr>
              <w:pStyle w:val="Prrafodelista"/>
              <w:spacing w:line="360" w:lineRule="auto"/>
              <w:ind w:left="360"/>
              <w:jc w:val="center"/>
              <w:rPr>
                <w:sz w:val="24"/>
                <w:szCs w:val="24"/>
              </w:rPr>
            </w:pPr>
            <w:r w:rsidRPr="006955A4">
              <w:rPr>
                <w:sz w:val="24"/>
                <w:szCs w:val="24"/>
              </w:rPr>
              <w:t>Responsabilidad</w:t>
            </w:r>
          </w:p>
          <w:p w:rsidR="004478D2" w:rsidRPr="006955A4" w:rsidRDefault="004478D2" w:rsidP="000C7C9A">
            <w:pPr>
              <w:pStyle w:val="Prrafodelista"/>
              <w:spacing w:line="360" w:lineRule="auto"/>
              <w:ind w:left="360"/>
              <w:jc w:val="center"/>
              <w:rPr>
                <w:sz w:val="24"/>
                <w:szCs w:val="24"/>
              </w:rPr>
            </w:pPr>
            <w:r w:rsidRPr="006955A4">
              <w:rPr>
                <w:sz w:val="24"/>
                <w:szCs w:val="24"/>
              </w:rPr>
              <w:t>Colectiva</w:t>
            </w:r>
          </w:p>
        </w:tc>
        <w:tc>
          <w:tcPr>
            <w:tcW w:w="3011" w:type="dxa"/>
            <w:tcBorders>
              <w:top w:val="dotted" w:sz="4" w:space="0" w:color="auto"/>
              <w:left w:val="double" w:sz="4" w:space="0" w:color="auto"/>
              <w:bottom w:val="double" w:sz="4" w:space="0" w:color="auto"/>
            </w:tcBorders>
          </w:tcPr>
          <w:p w:rsidR="004478D2" w:rsidRPr="006955A4" w:rsidRDefault="004478D2" w:rsidP="000C7C9A">
            <w:pPr>
              <w:pStyle w:val="Prrafodelista"/>
              <w:spacing w:line="360" w:lineRule="auto"/>
              <w:ind w:left="360"/>
              <w:jc w:val="center"/>
              <w:rPr>
                <w:sz w:val="24"/>
                <w:szCs w:val="24"/>
              </w:rPr>
            </w:pPr>
            <w:r w:rsidRPr="006955A4">
              <w:rPr>
                <w:sz w:val="24"/>
                <w:szCs w:val="24"/>
              </w:rPr>
              <w:t>Responsabilidad</w:t>
            </w:r>
          </w:p>
          <w:p w:rsidR="004478D2" w:rsidRPr="006955A4" w:rsidRDefault="004478D2" w:rsidP="000C7C9A">
            <w:pPr>
              <w:pStyle w:val="Prrafodelista"/>
              <w:spacing w:line="360" w:lineRule="auto"/>
              <w:ind w:left="360"/>
              <w:jc w:val="center"/>
              <w:rPr>
                <w:sz w:val="24"/>
                <w:szCs w:val="24"/>
              </w:rPr>
            </w:pPr>
            <w:r w:rsidRPr="006955A4">
              <w:rPr>
                <w:sz w:val="24"/>
                <w:szCs w:val="24"/>
              </w:rPr>
              <w:t>Colectiva</w:t>
            </w:r>
          </w:p>
        </w:tc>
      </w:tr>
      <w:tr w:rsidR="004478D2" w:rsidTr="000C7C9A">
        <w:trPr>
          <w:trHeight w:val="873"/>
          <w:jc w:val="right"/>
        </w:trPr>
        <w:tc>
          <w:tcPr>
            <w:tcW w:w="3011" w:type="dxa"/>
            <w:tcBorders>
              <w:top w:val="double" w:sz="4" w:space="0" w:color="auto"/>
              <w:right w:val="double" w:sz="4" w:space="0" w:color="auto"/>
            </w:tcBorders>
          </w:tcPr>
          <w:p w:rsidR="004478D2" w:rsidRPr="006955A4" w:rsidRDefault="004478D2" w:rsidP="000C7C9A">
            <w:pPr>
              <w:pStyle w:val="Prrafodelista"/>
              <w:spacing w:line="360" w:lineRule="auto"/>
              <w:ind w:left="360"/>
              <w:rPr>
                <w:sz w:val="24"/>
                <w:szCs w:val="24"/>
              </w:rPr>
            </w:pPr>
            <w:r w:rsidRPr="006955A4">
              <w:rPr>
                <w:sz w:val="24"/>
                <w:szCs w:val="24"/>
              </w:rPr>
              <w:t>Mayor Organización</w:t>
            </w:r>
          </w:p>
        </w:tc>
        <w:tc>
          <w:tcPr>
            <w:tcW w:w="3011" w:type="dxa"/>
            <w:tcBorders>
              <w:top w:val="double" w:sz="4" w:space="0" w:color="auto"/>
              <w:left w:val="double" w:sz="4" w:space="0" w:color="auto"/>
            </w:tcBorders>
            <w:shd w:val="clear" w:color="auto" w:fill="DBE5F1" w:themeFill="accent1" w:themeFillTint="33"/>
          </w:tcPr>
          <w:p w:rsidR="004478D2" w:rsidRPr="006955A4" w:rsidRDefault="004478D2" w:rsidP="000C7C9A">
            <w:pPr>
              <w:pStyle w:val="Prrafodelista"/>
              <w:spacing w:line="360" w:lineRule="auto"/>
              <w:ind w:left="360"/>
              <w:rPr>
                <w:sz w:val="24"/>
                <w:szCs w:val="24"/>
              </w:rPr>
            </w:pPr>
            <w:r w:rsidRPr="006955A4">
              <w:rPr>
                <w:sz w:val="24"/>
                <w:szCs w:val="24"/>
              </w:rPr>
              <w:t>Menor Organización</w:t>
            </w:r>
          </w:p>
        </w:tc>
      </w:tr>
      <w:tr w:rsidR="004478D2" w:rsidTr="000C7C9A">
        <w:trPr>
          <w:trHeight w:val="1710"/>
          <w:jc w:val="right"/>
        </w:trPr>
        <w:tc>
          <w:tcPr>
            <w:tcW w:w="3011" w:type="dxa"/>
            <w:tcBorders>
              <w:bottom w:val="dotted" w:sz="4" w:space="0" w:color="auto"/>
              <w:right w:val="double" w:sz="4" w:space="0" w:color="auto"/>
            </w:tcBorders>
            <w:vAlign w:val="center"/>
          </w:tcPr>
          <w:p w:rsidR="004478D2" w:rsidRPr="006955A4" w:rsidRDefault="004D000D" w:rsidP="000C7C9A">
            <w:pPr>
              <w:pStyle w:val="Prrafodelista"/>
              <w:spacing w:line="360" w:lineRule="auto"/>
              <w:ind w:left="360"/>
              <w:rPr>
                <w:b/>
                <w:sz w:val="26"/>
                <w:szCs w:val="26"/>
              </w:rPr>
            </w:pPr>
            <w:r w:rsidRPr="004D000D">
              <w:rPr>
                <w:rFonts w:asciiTheme="minorHAnsi" w:hAnsiTheme="minorHAnsi" w:cstheme="minorBidi"/>
                <w:noProof/>
                <w:lang w:val="es-GT" w:eastAsia="es-GT"/>
              </w:rPr>
              <w:pict>
                <v:shape id="_x0000_s1035" type="#_x0000_t202" style="position:absolute;left:0;text-align:left;margin-left:-81.55pt;margin-top:-9.4pt;width:42.55pt;height:22.55pt;z-index:251668480;mso-position-horizontal-relative:text;mso-position-vertical-relative:text" strokecolor="white [3212]">
                  <v:textbox style="mso-next-textbox:#_x0000_s1035">
                    <w:txbxContent>
                      <w:p w:rsidR="000C7C9A" w:rsidRPr="004C45A3" w:rsidRDefault="000C7C9A" w:rsidP="004478D2">
                        <w:pPr>
                          <w:jc w:val="center"/>
                          <w:rPr>
                            <w:b/>
                            <w:sz w:val="24"/>
                            <w:szCs w:val="24"/>
                            <w:lang w:val="es-MX"/>
                          </w:rPr>
                        </w:pPr>
                        <w:r w:rsidRPr="004C45A3">
                          <w:rPr>
                            <w:b/>
                            <w:sz w:val="24"/>
                            <w:szCs w:val="24"/>
                            <w:lang w:val="es-MX"/>
                          </w:rPr>
                          <w:t>Bajo</w:t>
                        </w:r>
                      </w:p>
                    </w:txbxContent>
                  </v:textbox>
                </v:shape>
              </w:pict>
            </w:r>
            <w:r w:rsidR="004478D2" w:rsidRPr="006955A4">
              <w:rPr>
                <w:b/>
                <w:sz w:val="26"/>
                <w:szCs w:val="26"/>
              </w:rPr>
              <w:t>VIGILANTISMO</w:t>
            </w:r>
          </w:p>
        </w:tc>
        <w:tc>
          <w:tcPr>
            <w:tcW w:w="3011" w:type="dxa"/>
            <w:tcBorders>
              <w:left w:val="double" w:sz="4" w:space="0" w:color="auto"/>
              <w:bottom w:val="dotted" w:sz="4" w:space="0" w:color="auto"/>
            </w:tcBorders>
            <w:shd w:val="clear" w:color="auto" w:fill="DBE5F1" w:themeFill="accent1" w:themeFillTint="33"/>
            <w:vAlign w:val="center"/>
          </w:tcPr>
          <w:p w:rsidR="004478D2" w:rsidRPr="006955A4" w:rsidRDefault="004478D2" w:rsidP="000C7C9A">
            <w:pPr>
              <w:pStyle w:val="Prrafodelista"/>
              <w:spacing w:line="360" w:lineRule="auto"/>
              <w:ind w:left="360"/>
              <w:rPr>
                <w:b/>
                <w:sz w:val="26"/>
                <w:szCs w:val="26"/>
              </w:rPr>
            </w:pPr>
            <w:r w:rsidRPr="006955A4">
              <w:rPr>
                <w:b/>
                <w:sz w:val="26"/>
                <w:szCs w:val="26"/>
              </w:rPr>
              <w:t>LINCHAMIENTOS</w:t>
            </w:r>
          </w:p>
        </w:tc>
      </w:tr>
      <w:tr w:rsidR="004478D2" w:rsidTr="000C7C9A">
        <w:trPr>
          <w:trHeight w:val="873"/>
          <w:jc w:val="right"/>
        </w:trPr>
        <w:tc>
          <w:tcPr>
            <w:tcW w:w="3011" w:type="dxa"/>
            <w:tcBorders>
              <w:top w:val="dotted" w:sz="4" w:space="0" w:color="auto"/>
              <w:bottom w:val="double" w:sz="4" w:space="0" w:color="auto"/>
              <w:right w:val="double" w:sz="4" w:space="0" w:color="auto"/>
            </w:tcBorders>
          </w:tcPr>
          <w:p w:rsidR="004478D2" w:rsidRPr="006955A4" w:rsidRDefault="004478D2" w:rsidP="000C7C9A">
            <w:pPr>
              <w:pStyle w:val="Prrafodelista"/>
              <w:spacing w:line="360" w:lineRule="auto"/>
              <w:ind w:left="360"/>
              <w:jc w:val="center"/>
              <w:rPr>
                <w:sz w:val="24"/>
                <w:szCs w:val="24"/>
              </w:rPr>
            </w:pPr>
            <w:r w:rsidRPr="006955A4">
              <w:rPr>
                <w:sz w:val="24"/>
                <w:szCs w:val="24"/>
              </w:rPr>
              <w:t>Responsabilidad</w:t>
            </w:r>
          </w:p>
          <w:p w:rsidR="004478D2" w:rsidRPr="006955A4" w:rsidRDefault="004478D2" w:rsidP="000C7C9A">
            <w:pPr>
              <w:pStyle w:val="Prrafodelista"/>
              <w:spacing w:line="360" w:lineRule="auto"/>
              <w:ind w:left="360"/>
              <w:jc w:val="center"/>
              <w:rPr>
                <w:sz w:val="24"/>
                <w:szCs w:val="24"/>
              </w:rPr>
            </w:pPr>
            <w:r w:rsidRPr="006955A4">
              <w:rPr>
                <w:sz w:val="24"/>
                <w:szCs w:val="24"/>
              </w:rPr>
              <w:t>Individual</w:t>
            </w:r>
          </w:p>
        </w:tc>
        <w:tc>
          <w:tcPr>
            <w:tcW w:w="3011" w:type="dxa"/>
            <w:tcBorders>
              <w:top w:val="dotted" w:sz="4" w:space="0" w:color="auto"/>
              <w:left w:val="double" w:sz="4" w:space="0" w:color="auto"/>
              <w:bottom w:val="double" w:sz="4" w:space="0" w:color="auto"/>
            </w:tcBorders>
            <w:shd w:val="clear" w:color="auto" w:fill="DBE5F1" w:themeFill="accent1" w:themeFillTint="33"/>
          </w:tcPr>
          <w:p w:rsidR="004478D2" w:rsidRPr="006955A4" w:rsidRDefault="004478D2" w:rsidP="000C7C9A">
            <w:pPr>
              <w:pStyle w:val="Prrafodelista"/>
              <w:spacing w:line="360" w:lineRule="auto"/>
              <w:ind w:left="360"/>
              <w:jc w:val="center"/>
              <w:rPr>
                <w:sz w:val="24"/>
                <w:szCs w:val="24"/>
              </w:rPr>
            </w:pPr>
            <w:r w:rsidRPr="006955A4">
              <w:rPr>
                <w:sz w:val="24"/>
                <w:szCs w:val="24"/>
              </w:rPr>
              <w:t>Responsabilidad</w:t>
            </w:r>
          </w:p>
          <w:p w:rsidR="004478D2" w:rsidRPr="006955A4" w:rsidRDefault="004478D2" w:rsidP="000C7C9A">
            <w:pPr>
              <w:pStyle w:val="Prrafodelista"/>
              <w:spacing w:line="360" w:lineRule="auto"/>
              <w:ind w:left="360"/>
              <w:jc w:val="center"/>
              <w:rPr>
                <w:sz w:val="24"/>
                <w:szCs w:val="24"/>
              </w:rPr>
            </w:pPr>
            <w:r w:rsidRPr="006955A4">
              <w:rPr>
                <w:sz w:val="24"/>
                <w:szCs w:val="24"/>
              </w:rPr>
              <w:t>Individual</w:t>
            </w:r>
          </w:p>
        </w:tc>
      </w:tr>
    </w:tbl>
    <w:p w:rsidR="00C16ECD" w:rsidRDefault="00C16ECD" w:rsidP="004478D2">
      <w:pPr>
        <w:spacing w:line="360" w:lineRule="auto"/>
        <w:jc w:val="center"/>
        <w:rPr>
          <w:rFonts w:ascii="MS Reference Sans Serif" w:hAnsi="MS Reference Sans Serif"/>
          <w:b/>
        </w:rPr>
      </w:pPr>
    </w:p>
    <w:p w:rsidR="004478D2" w:rsidRPr="004478D2" w:rsidRDefault="004478D2" w:rsidP="004478D2">
      <w:pPr>
        <w:spacing w:line="360" w:lineRule="auto"/>
        <w:jc w:val="center"/>
        <w:rPr>
          <w:rFonts w:ascii="MS Reference Sans Serif" w:hAnsi="MS Reference Sans Serif"/>
          <w:b/>
        </w:rPr>
      </w:pPr>
      <w:r w:rsidRPr="004478D2">
        <w:rPr>
          <w:rFonts w:ascii="MS Reference Sans Serif" w:hAnsi="MS Reference Sans Serif"/>
          <w:b/>
        </w:rPr>
        <w:t xml:space="preserve">Fuente: Elaboración propia con datos de Roberta </w:t>
      </w:r>
      <w:proofErr w:type="spellStart"/>
      <w:r w:rsidRPr="004478D2">
        <w:rPr>
          <w:rFonts w:ascii="MS Reference Sans Serif" w:hAnsi="MS Reference Sans Serif"/>
          <w:b/>
        </w:rPr>
        <w:t>Senechal</w:t>
      </w:r>
      <w:proofErr w:type="spellEnd"/>
      <w:r w:rsidRPr="004478D2">
        <w:rPr>
          <w:rFonts w:ascii="MS Reference Sans Serif" w:hAnsi="MS Reference Sans Serif"/>
          <w:b/>
        </w:rPr>
        <w:t xml:space="preserve"> de la Roche, 1996</w:t>
      </w:r>
    </w:p>
    <w:p w:rsidR="007819C0" w:rsidRPr="00194A75" w:rsidRDefault="00351820" w:rsidP="001D26AD">
      <w:pPr>
        <w:pStyle w:val="Ttulo1"/>
        <w:numPr>
          <w:ilvl w:val="0"/>
          <w:numId w:val="4"/>
        </w:numPr>
        <w:spacing w:line="360" w:lineRule="auto"/>
        <w:rPr>
          <w:color w:val="7F7F7F" w:themeColor="text1" w:themeTint="80"/>
          <w:lang w:val="es-ES_tradnl"/>
        </w:rPr>
      </w:pPr>
      <w:bookmarkStart w:id="8" w:name="_Toc369732056"/>
      <w:r w:rsidRPr="00194A75">
        <w:rPr>
          <w:color w:val="7F7F7F" w:themeColor="text1" w:themeTint="80"/>
          <w:lang w:val="es-ES_tradnl"/>
        </w:rPr>
        <w:t>Violencia colectiva</w:t>
      </w:r>
      <w:bookmarkEnd w:id="8"/>
    </w:p>
    <w:p w:rsidR="00F472AD" w:rsidRDefault="00EE7B6F" w:rsidP="001D26AD">
      <w:pPr>
        <w:spacing w:line="360" w:lineRule="auto"/>
        <w:jc w:val="both"/>
        <w:rPr>
          <w:rFonts w:ascii="MS Reference Sans Serif" w:hAnsi="MS Reference Sans Serif"/>
          <w:sz w:val="24"/>
          <w:szCs w:val="24"/>
          <w:lang w:val="es-ES_tradnl"/>
        </w:rPr>
      </w:pPr>
      <w:r w:rsidRPr="00EE7B6F">
        <w:rPr>
          <w:rFonts w:ascii="MS Reference Sans Serif" w:hAnsi="MS Reference Sans Serif"/>
          <w:sz w:val="24"/>
          <w:szCs w:val="24"/>
          <w:lang w:val="es-ES_tradnl"/>
        </w:rPr>
        <w:t>Los</w:t>
      </w:r>
      <w:r>
        <w:rPr>
          <w:rFonts w:ascii="MS Reference Sans Serif" w:hAnsi="MS Reference Sans Serif"/>
          <w:sz w:val="24"/>
          <w:szCs w:val="24"/>
          <w:lang w:val="es-ES_tradnl"/>
        </w:rPr>
        <w:t xml:space="preserve"> principales hallazgos</w:t>
      </w:r>
      <w:r w:rsidR="00B46491">
        <w:rPr>
          <w:rFonts w:ascii="MS Reference Sans Serif" w:hAnsi="MS Reference Sans Serif"/>
          <w:sz w:val="24"/>
          <w:szCs w:val="24"/>
          <w:lang w:val="es-ES_tradnl"/>
        </w:rPr>
        <w:t xml:space="preserve"> comparan l</w:t>
      </w:r>
      <w:r w:rsidR="00990B16">
        <w:rPr>
          <w:rFonts w:ascii="MS Reference Sans Serif" w:hAnsi="MS Reference Sans Serif"/>
          <w:sz w:val="24"/>
          <w:szCs w:val="24"/>
          <w:lang w:val="es-ES_tradnl"/>
        </w:rPr>
        <w:t>as definiciones</w:t>
      </w:r>
      <w:r w:rsidR="00B46491">
        <w:rPr>
          <w:rFonts w:ascii="MS Reference Sans Serif" w:hAnsi="MS Reference Sans Serif"/>
          <w:sz w:val="24"/>
          <w:szCs w:val="24"/>
          <w:lang w:val="es-ES_tradnl"/>
        </w:rPr>
        <w:t xml:space="preserve"> y</w:t>
      </w:r>
      <w:r w:rsidR="00990B16">
        <w:rPr>
          <w:rFonts w:ascii="MS Reference Sans Serif" w:hAnsi="MS Reference Sans Serif"/>
          <w:sz w:val="24"/>
          <w:szCs w:val="24"/>
          <w:lang w:val="es-ES_tradnl"/>
        </w:rPr>
        <w:t xml:space="preserve"> clasificaciones paralelas</w:t>
      </w:r>
      <w:r w:rsidR="0005025E">
        <w:rPr>
          <w:rFonts w:ascii="MS Reference Sans Serif" w:hAnsi="MS Reference Sans Serif"/>
          <w:sz w:val="24"/>
          <w:szCs w:val="24"/>
          <w:lang w:val="es-ES_tradnl"/>
        </w:rPr>
        <w:t xml:space="preserve"> (</w:t>
      </w:r>
      <w:r w:rsidR="0005025E" w:rsidRPr="0005025E">
        <w:rPr>
          <w:rFonts w:ascii="MS Reference Sans Serif" w:hAnsi="MS Reference Sans Serif"/>
          <w:b/>
          <w:color w:val="7F7F7F" w:themeColor="text1" w:themeTint="80"/>
          <w:lang w:val="es-ES_tradnl"/>
        </w:rPr>
        <w:t>Ver tabla 7</w:t>
      </w:r>
      <w:r w:rsidR="0005025E">
        <w:rPr>
          <w:rFonts w:ascii="MS Reference Sans Serif" w:hAnsi="MS Reference Sans Serif"/>
          <w:sz w:val="24"/>
          <w:szCs w:val="24"/>
          <w:lang w:val="es-ES_tradnl"/>
        </w:rPr>
        <w:t>)</w:t>
      </w:r>
      <w:r w:rsidR="00990B16">
        <w:rPr>
          <w:rFonts w:ascii="MS Reference Sans Serif" w:hAnsi="MS Reference Sans Serif"/>
          <w:sz w:val="24"/>
          <w:szCs w:val="24"/>
          <w:lang w:val="es-ES_tradnl"/>
        </w:rPr>
        <w:t xml:space="preserve"> al Código Penal</w:t>
      </w:r>
      <w:r w:rsidR="00B46491">
        <w:rPr>
          <w:rFonts w:ascii="MS Reference Sans Serif" w:hAnsi="MS Reference Sans Serif"/>
          <w:sz w:val="24"/>
          <w:szCs w:val="24"/>
          <w:lang w:val="es-ES_tradnl"/>
        </w:rPr>
        <w:t xml:space="preserve"> que </w:t>
      </w:r>
      <w:r w:rsidR="005A5CB3">
        <w:rPr>
          <w:rFonts w:ascii="MS Reference Sans Serif" w:hAnsi="MS Reference Sans Serif"/>
          <w:sz w:val="24"/>
          <w:szCs w:val="24"/>
          <w:lang w:val="es-ES_tradnl"/>
        </w:rPr>
        <w:t>utilizan</w:t>
      </w:r>
      <w:r w:rsidR="00B46491">
        <w:rPr>
          <w:rFonts w:ascii="MS Reference Sans Serif" w:hAnsi="MS Reference Sans Serif"/>
          <w:sz w:val="24"/>
          <w:szCs w:val="24"/>
          <w:lang w:val="es-ES_tradnl"/>
        </w:rPr>
        <w:t xml:space="preserve"> las instituciones encargadas de la prevención y reducción del delito de riña tumultuaria</w:t>
      </w:r>
      <w:r w:rsidR="00990B16">
        <w:rPr>
          <w:rFonts w:ascii="MS Reference Sans Serif" w:hAnsi="MS Reference Sans Serif"/>
          <w:sz w:val="24"/>
          <w:szCs w:val="24"/>
          <w:lang w:val="es-ES_tradnl"/>
        </w:rPr>
        <w:t xml:space="preserve"> –linchamientos-, el </w:t>
      </w:r>
      <w:r w:rsidR="00990B16">
        <w:rPr>
          <w:rFonts w:ascii="MS Reference Sans Serif" w:hAnsi="MS Reference Sans Serif"/>
          <w:sz w:val="24"/>
          <w:szCs w:val="24"/>
          <w:lang w:val="es-ES_tradnl"/>
        </w:rPr>
        <w:lastRenderedPageBreak/>
        <w:t xml:space="preserve">terrorismo, los vapuleos y el vigilantismo. De estas cuatro se expone el delito de linchamiento que es el único que actualmente registran. </w:t>
      </w:r>
    </w:p>
    <w:p w:rsidR="000C2364" w:rsidRDefault="000C2364" w:rsidP="001D26AD">
      <w:pPr>
        <w:spacing w:line="360" w:lineRule="auto"/>
        <w:jc w:val="both"/>
        <w:rPr>
          <w:rFonts w:ascii="MS Reference Sans Serif" w:hAnsi="MS Reference Sans Serif"/>
          <w:sz w:val="24"/>
          <w:szCs w:val="24"/>
          <w:lang w:val="es-ES_tradnl"/>
        </w:rPr>
      </w:pPr>
    </w:p>
    <w:p w:rsidR="00F472AD" w:rsidRPr="0005025E" w:rsidRDefault="0005025E" w:rsidP="0005025E">
      <w:pPr>
        <w:spacing w:line="360" w:lineRule="auto"/>
        <w:jc w:val="center"/>
        <w:rPr>
          <w:rFonts w:ascii="MS Reference Sans Serif" w:hAnsi="MS Reference Sans Serif"/>
          <w:b/>
          <w:color w:val="7F7F7F" w:themeColor="text1" w:themeTint="80"/>
          <w:sz w:val="24"/>
          <w:szCs w:val="24"/>
          <w:lang w:val="es-ES_tradnl"/>
        </w:rPr>
      </w:pPr>
      <w:r w:rsidRPr="0005025E">
        <w:rPr>
          <w:rFonts w:ascii="MS Reference Sans Serif" w:hAnsi="MS Reference Sans Serif"/>
          <w:b/>
          <w:color w:val="7F7F7F" w:themeColor="text1" w:themeTint="80"/>
          <w:sz w:val="24"/>
          <w:szCs w:val="24"/>
          <w:lang w:val="es-ES_tradnl"/>
        </w:rPr>
        <w:t>Tabla 7: Comparativo institucional de definición y clasificación del delito de riña tumultuaria –linchamientos-</w:t>
      </w:r>
    </w:p>
    <w:tbl>
      <w:tblPr>
        <w:tblStyle w:val="Sombreadoclaro-nfasis11"/>
        <w:tblW w:w="0" w:type="auto"/>
        <w:jc w:val="center"/>
        <w:tblLayout w:type="fixed"/>
        <w:tblLook w:val="04A0"/>
      </w:tblPr>
      <w:tblGrid>
        <w:gridCol w:w="1728"/>
        <w:gridCol w:w="6275"/>
        <w:gridCol w:w="1575"/>
      </w:tblGrid>
      <w:tr w:rsidR="000B42A4" w:rsidRPr="00990B16" w:rsidTr="00B21EF7">
        <w:trPr>
          <w:cnfStyle w:val="100000000000"/>
          <w:tblHeader/>
          <w:jc w:val="center"/>
        </w:trPr>
        <w:tc>
          <w:tcPr>
            <w:cnfStyle w:val="001000000000"/>
            <w:tcW w:w="1728" w:type="dxa"/>
            <w:vAlign w:val="center"/>
          </w:tcPr>
          <w:p w:rsidR="000B42A4" w:rsidRPr="00C77B3D" w:rsidRDefault="000B42A4" w:rsidP="00C77B3D">
            <w:pPr>
              <w:spacing w:line="360" w:lineRule="auto"/>
              <w:jc w:val="center"/>
              <w:rPr>
                <w:rFonts w:asciiTheme="minorHAnsi" w:hAnsiTheme="minorHAnsi"/>
                <w:b w:val="0"/>
                <w:sz w:val="28"/>
                <w:szCs w:val="28"/>
              </w:rPr>
            </w:pPr>
            <w:r w:rsidRPr="00C77B3D">
              <w:rPr>
                <w:rFonts w:asciiTheme="minorHAnsi" w:hAnsiTheme="minorHAnsi"/>
                <w:sz w:val="28"/>
                <w:szCs w:val="28"/>
              </w:rPr>
              <w:t>Institución</w:t>
            </w:r>
          </w:p>
        </w:tc>
        <w:tc>
          <w:tcPr>
            <w:tcW w:w="6275" w:type="dxa"/>
            <w:vAlign w:val="center"/>
          </w:tcPr>
          <w:p w:rsidR="000B42A4" w:rsidRPr="00C77B3D" w:rsidRDefault="000B42A4" w:rsidP="00C77B3D">
            <w:pPr>
              <w:spacing w:line="360" w:lineRule="auto"/>
              <w:jc w:val="center"/>
              <w:cnfStyle w:val="100000000000"/>
              <w:rPr>
                <w:rFonts w:asciiTheme="minorHAnsi" w:hAnsiTheme="minorHAnsi"/>
                <w:b w:val="0"/>
                <w:sz w:val="28"/>
                <w:szCs w:val="28"/>
              </w:rPr>
            </w:pPr>
            <w:r w:rsidRPr="00C77B3D">
              <w:rPr>
                <w:rFonts w:asciiTheme="minorHAnsi" w:hAnsiTheme="minorHAnsi"/>
                <w:sz w:val="28"/>
                <w:szCs w:val="28"/>
              </w:rPr>
              <w:t>Definición</w:t>
            </w:r>
          </w:p>
        </w:tc>
        <w:tc>
          <w:tcPr>
            <w:tcW w:w="1575" w:type="dxa"/>
            <w:vAlign w:val="center"/>
          </w:tcPr>
          <w:p w:rsidR="000B42A4" w:rsidRPr="00990B16" w:rsidRDefault="000B42A4" w:rsidP="00C77B3D">
            <w:pPr>
              <w:spacing w:line="360" w:lineRule="auto"/>
              <w:jc w:val="center"/>
              <w:cnfStyle w:val="100000000000"/>
              <w:rPr>
                <w:rFonts w:asciiTheme="minorHAnsi" w:hAnsiTheme="minorHAnsi"/>
                <w:b w:val="0"/>
                <w:sz w:val="24"/>
                <w:szCs w:val="24"/>
              </w:rPr>
            </w:pPr>
            <w:r w:rsidRPr="00990B16">
              <w:rPr>
                <w:rFonts w:asciiTheme="minorHAnsi" w:hAnsiTheme="minorHAnsi"/>
                <w:sz w:val="24"/>
                <w:szCs w:val="24"/>
              </w:rPr>
              <w:t>Clasificación</w:t>
            </w:r>
            <w:r w:rsidR="00C77B3D">
              <w:rPr>
                <w:rFonts w:asciiTheme="minorHAnsi" w:hAnsiTheme="minorHAnsi"/>
                <w:sz w:val="24"/>
                <w:szCs w:val="24"/>
              </w:rPr>
              <w:t xml:space="preserve"> en el registro estadístico</w:t>
            </w:r>
          </w:p>
        </w:tc>
      </w:tr>
      <w:tr w:rsidR="000B42A4" w:rsidRPr="00990B16" w:rsidTr="00B21EF7">
        <w:trPr>
          <w:cnfStyle w:val="000000100000"/>
          <w:jc w:val="center"/>
        </w:trPr>
        <w:tc>
          <w:tcPr>
            <w:cnfStyle w:val="001000000000"/>
            <w:tcW w:w="1728" w:type="dxa"/>
            <w:vAlign w:val="center"/>
          </w:tcPr>
          <w:p w:rsidR="000B42A4" w:rsidRPr="00990B16" w:rsidRDefault="000B42A4" w:rsidP="00C77B3D">
            <w:pPr>
              <w:spacing w:line="360" w:lineRule="auto"/>
              <w:jc w:val="center"/>
              <w:rPr>
                <w:rFonts w:asciiTheme="minorHAnsi" w:hAnsiTheme="minorHAnsi"/>
                <w:b w:val="0"/>
                <w:sz w:val="24"/>
                <w:szCs w:val="24"/>
              </w:rPr>
            </w:pPr>
            <w:r w:rsidRPr="00990B16">
              <w:rPr>
                <w:rFonts w:asciiTheme="minorHAnsi" w:hAnsiTheme="minorHAnsi"/>
                <w:sz w:val="24"/>
                <w:szCs w:val="24"/>
              </w:rPr>
              <w:t>Real Academia Española</w:t>
            </w:r>
          </w:p>
        </w:tc>
        <w:tc>
          <w:tcPr>
            <w:tcW w:w="6275" w:type="dxa"/>
            <w:vAlign w:val="center"/>
          </w:tcPr>
          <w:p w:rsidR="000B42A4" w:rsidRPr="00990B16" w:rsidRDefault="000B42A4" w:rsidP="00C77B3D">
            <w:pPr>
              <w:spacing w:line="360" w:lineRule="auto"/>
              <w:jc w:val="center"/>
              <w:cnfStyle w:val="000000100000"/>
              <w:rPr>
                <w:rFonts w:asciiTheme="minorHAnsi" w:hAnsiTheme="minorHAnsi"/>
                <w:sz w:val="24"/>
                <w:szCs w:val="24"/>
              </w:rPr>
            </w:pPr>
            <w:r w:rsidRPr="00990B16">
              <w:rPr>
                <w:rFonts w:asciiTheme="minorHAnsi" w:hAnsiTheme="minorHAnsi"/>
                <w:sz w:val="24"/>
                <w:szCs w:val="24"/>
              </w:rPr>
              <w:t>Ejecutar sin proceso y tumultuariamente a un sospechoso o a un reo</w:t>
            </w:r>
          </w:p>
        </w:tc>
        <w:tc>
          <w:tcPr>
            <w:tcW w:w="1575" w:type="dxa"/>
            <w:vAlign w:val="center"/>
          </w:tcPr>
          <w:p w:rsidR="000B42A4" w:rsidRPr="00990B16" w:rsidRDefault="00C77B3D" w:rsidP="00C77B3D">
            <w:pPr>
              <w:spacing w:line="360" w:lineRule="auto"/>
              <w:jc w:val="center"/>
              <w:cnfStyle w:val="000000100000"/>
              <w:rPr>
                <w:rFonts w:asciiTheme="minorHAnsi" w:hAnsiTheme="minorHAnsi"/>
                <w:sz w:val="24"/>
                <w:szCs w:val="24"/>
              </w:rPr>
            </w:pPr>
            <w:r>
              <w:rPr>
                <w:rFonts w:asciiTheme="minorHAnsi" w:hAnsiTheme="minorHAnsi"/>
                <w:sz w:val="24"/>
                <w:szCs w:val="24"/>
              </w:rPr>
              <w:t>---</w:t>
            </w:r>
          </w:p>
        </w:tc>
      </w:tr>
      <w:tr w:rsidR="000B42A4" w:rsidRPr="00990B16" w:rsidTr="00B21EF7">
        <w:trPr>
          <w:jc w:val="center"/>
        </w:trPr>
        <w:tc>
          <w:tcPr>
            <w:cnfStyle w:val="001000000000"/>
            <w:tcW w:w="1728" w:type="dxa"/>
            <w:vAlign w:val="center"/>
          </w:tcPr>
          <w:p w:rsidR="000B42A4" w:rsidRPr="00990B16" w:rsidRDefault="000B42A4" w:rsidP="00C77B3D">
            <w:pPr>
              <w:spacing w:line="360" w:lineRule="auto"/>
              <w:jc w:val="center"/>
              <w:rPr>
                <w:rFonts w:asciiTheme="minorHAnsi" w:hAnsiTheme="minorHAnsi"/>
                <w:b w:val="0"/>
                <w:sz w:val="24"/>
                <w:szCs w:val="24"/>
              </w:rPr>
            </w:pPr>
            <w:r w:rsidRPr="00990B16">
              <w:rPr>
                <w:rFonts w:asciiTheme="minorHAnsi" w:hAnsiTheme="minorHAnsi"/>
                <w:sz w:val="24"/>
                <w:szCs w:val="24"/>
              </w:rPr>
              <w:t>Instituto Nacional de Ciencias Forenses</w:t>
            </w:r>
          </w:p>
        </w:tc>
        <w:tc>
          <w:tcPr>
            <w:tcW w:w="6275" w:type="dxa"/>
            <w:vAlign w:val="center"/>
          </w:tcPr>
          <w:p w:rsidR="000B42A4" w:rsidRPr="00990B16" w:rsidRDefault="000B42A4" w:rsidP="00C77B3D">
            <w:pPr>
              <w:spacing w:line="360" w:lineRule="auto"/>
              <w:jc w:val="center"/>
              <w:cnfStyle w:val="000000000000"/>
              <w:rPr>
                <w:rFonts w:asciiTheme="minorHAnsi" w:hAnsiTheme="minorHAnsi"/>
                <w:sz w:val="24"/>
                <w:szCs w:val="24"/>
              </w:rPr>
            </w:pPr>
            <w:r w:rsidRPr="00990B16">
              <w:rPr>
                <w:rFonts w:asciiTheme="minorHAnsi" w:hAnsiTheme="minorHAnsi"/>
                <w:sz w:val="24"/>
                <w:szCs w:val="24"/>
              </w:rPr>
              <w:t>“… el Instituto Nacional de Ciencias Forenses de Guatemala hace una clasificación general de las necropsias realizadas diariamente a nivel nacional, en función de diversas variables entre ellas región geográfica donde se realizó la pericia y causa de muerte. La Clasificación por causa de muerte se hace en forma genérica, atendiendo casuística reportada para Guatemala. Detalles de cada caso son confidenciales y se informan oportunamente en el dictamen pericial remitido a la autoridad competente. El aparato de “otras causas” es variable y puede incluir traumatismos, enfermedades comunes, entre otros…”</w:t>
            </w:r>
          </w:p>
        </w:tc>
        <w:tc>
          <w:tcPr>
            <w:tcW w:w="1575" w:type="dxa"/>
            <w:vAlign w:val="center"/>
          </w:tcPr>
          <w:p w:rsidR="000B42A4" w:rsidRPr="00990B16" w:rsidRDefault="000B42A4" w:rsidP="00C77B3D">
            <w:pPr>
              <w:spacing w:line="360" w:lineRule="auto"/>
              <w:jc w:val="center"/>
              <w:cnfStyle w:val="000000000000"/>
              <w:rPr>
                <w:rFonts w:asciiTheme="minorHAnsi" w:hAnsiTheme="minorHAnsi"/>
                <w:noProof/>
                <w:sz w:val="24"/>
                <w:szCs w:val="24"/>
              </w:rPr>
            </w:pPr>
            <w:r w:rsidRPr="00990B16">
              <w:rPr>
                <w:rFonts w:asciiTheme="minorHAnsi" w:hAnsiTheme="minorHAnsi"/>
                <w:noProof/>
                <w:sz w:val="24"/>
                <w:szCs w:val="24"/>
              </w:rPr>
              <w:t>Otros</w:t>
            </w:r>
          </w:p>
        </w:tc>
      </w:tr>
      <w:tr w:rsidR="000B42A4" w:rsidRPr="00990B16" w:rsidTr="00B21EF7">
        <w:trPr>
          <w:cnfStyle w:val="000000100000"/>
          <w:jc w:val="center"/>
        </w:trPr>
        <w:tc>
          <w:tcPr>
            <w:cnfStyle w:val="001000000000"/>
            <w:tcW w:w="1728" w:type="dxa"/>
            <w:vAlign w:val="center"/>
          </w:tcPr>
          <w:p w:rsidR="000B42A4" w:rsidRPr="00990B16" w:rsidRDefault="000B42A4" w:rsidP="00C77B3D">
            <w:pPr>
              <w:spacing w:line="360" w:lineRule="auto"/>
              <w:jc w:val="center"/>
              <w:rPr>
                <w:rFonts w:asciiTheme="minorHAnsi" w:hAnsiTheme="minorHAnsi"/>
                <w:b w:val="0"/>
                <w:sz w:val="24"/>
                <w:szCs w:val="24"/>
              </w:rPr>
            </w:pPr>
            <w:r w:rsidRPr="00990B16">
              <w:rPr>
                <w:rFonts w:asciiTheme="minorHAnsi" w:hAnsiTheme="minorHAnsi"/>
                <w:sz w:val="24"/>
                <w:szCs w:val="24"/>
              </w:rPr>
              <w:t>Policía Nacional Civil</w:t>
            </w:r>
          </w:p>
        </w:tc>
        <w:tc>
          <w:tcPr>
            <w:tcW w:w="6275" w:type="dxa"/>
            <w:vAlign w:val="center"/>
          </w:tcPr>
          <w:p w:rsidR="000B42A4" w:rsidRPr="00990B16" w:rsidRDefault="00C77B3D" w:rsidP="00C77B3D">
            <w:pPr>
              <w:spacing w:line="360" w:lineRule="auto"/>
              <w:jc w:val="center"/>
              <w:cnfStyle w:val="000000100000"/>
              <w:rPr>
                <w:rFonts w:asciiTheme="minorHAnsi" w:hAnsiTheme="minorHAnsi"/>
                <w:sz w:val="24"/>
                <w:szCs w:val="24"/>
              </w:rPr>
            </w:pPr>
            <w:r>
              <w:rPr>
                <w:rFonts w:asciiTheme="minorHAnsi" w:hAnsiTheme="minorHAnsi"/>
                <w:sz w:val="24"/>
                <w:szCs w:val="24"/>
              </w:rPr>
              <w:t>---</w:t>
            </w:r>
          </w:p>
        </w:tc>
        <w:tc>
          <w:tcPr>
            <w:tcW w:w="1575" w:type="dxa"/>
            <w:vAlign w:val="center"/>
          </w:tcPr>
          <w:p w:rsidR="000B42A4" w:rsidRPr="00990B16" w:rsidRDefault="00C77B3D" w:rsidP="00C77B3D">
            <w:pPr>
              <w:spacing w:line="360" w:lineRule="auto"/>
              <w:jc w:val="center"/>
              <w:cnfStyle w:val="000000100000"/>
              <w:rPr>
                <w:rFonts w:asciiTheme="minorHAnsi" w:hAnsiTheme="minorHAnsi"/>
                <w:sz w:val="24"/>
                <w:szCs w:val="24"/>
              </w:rPr>
            </w:pPr>
            <w:r>
              <w:rPr>
                <w:rFonts w:asciiTheme="minorHAnsi" w:hAnsiTheme="minorHAnsi"/>
                <w:sz w:val="24"/>
                <w:szCs w:val="24"/>
              </w:rPr>
              <w:t>---</w:t>
            </w:r>
          </w:p>
        </w:tc>
      </w:tr>
      <w:tr w:rsidR="000B42A4" w:rsidRPr="00990B16" w:rsidTr="00B21EF7">
        <w:trPr>
          <w:jc w:val="center"/>
        </w:trPr>
        <w:tc>
          <w:tcPr>
            <w:cnfStyle w:val="001000000000"/>
            <w:tcW w:w="1728" w:type="dxa"/>
            <w:vAlign w:val="center"/>
          </w:tcPr>
          <w:p w:rsidR="000B42A4" w:rsidRPr="00990B16" w:rsidRDefault="000B42A4" w:rsidP="00C77B3D">
            <w:pPr>
              <w:spacing w:line="360" w:lineRule="auto"/>
              <w:jc w:val="center"/>
              <w:rPr>
                <w:rFonts w:asciiTheme="minorHAnsi" w:hAnsiTheme="minorHAnsi"/>
                <w:b w:val="0"/>
                <w:sz w:val="24"/>
                <w:szCs w:val="24"/>
              </w:rPr>
            </w:pPr>
            <w:r w:rsidRPr="00990B16">
              <w:rPr>
                <w:rFonts w:asciiTheme="minorHAnsi" w:hAnsiTheme="minorHAnsi"/>
                <w:sz w:val="24"/>
                <w:szCs w:val="24"/>
              </w:rPr>
              <w:t>Derecho</w:t>
            </w:r>
          </w:p>
        </w:tc>
        <w:tc>
          <w:tcPr>
            <w:tcW w:w="6275" w:type="dxa"/>
            <w:vAlign w:val="center"/>
          </w:tcPr>
          <w:p w:rsidR="000B42A4" w:rsidRPr="00990B16" w:rsidRDefault="00C77B3D" w:rsidP="00C77B3D">
            <w:pPr>
              <w:spacing w:line="360" w:lineRule="auto"/>
              <w:jc w:val="center"/>
              <w:cnfStyle w:val="000000000000"/>
              <w:rPr>
                <w:rFonts w:asciiTheme="minorHAnsi" w:hAnsiTheme="minorHAnsi"/>
                <w:sz w:val="24"/>
                <w:szCs w:val="24"/>
              </w:rPr>
            </w:pPr>
            <w:r>
              <w:rPr>
                <w:rFonts w:asciiTheme="minorHAnsi" w:hAnsiTheme="minorHAnsi"/>
                <w:sz w:val="24"/>
                <w:szCs w:val="24"/>
              </w:rPr>
              <w:t>A</w:t>
            </w:r>
            <w:r w:rsidRPr="00C77B3D">
              <w:rPr>
                <w:rFonts w:asciiTheme="minorHAnsi" w:hAnsiTheme="minorHAnsi"/>
                <w:sz w:val="24"/>
                <w:szCs w:val="24"/>
              </w:rPr>
              <w:t>rtículo 125</w:t>
            </w:r>
            <w:r>
              <w:rPr>
                <w:rFonts w:asciiTheme="minorHAnsi" w:hAnsiTheme="minorHAnsi"/>
                <w:sz w:val="24"/>
                <w:szCs w:val="24"/>
              </w:rPr>
              <w:t>.</w:t>
            </w:r>
            <w:r w:rsidRPr="00C77B3D">
              <w:rPr>
                <w:rFonts w:asciiTheme="minorHAnsi" w:hAnsiTheme="minorHAnsi"/>
                <w:sz w:val="24"/>
                <w:szCs w:val="24"/>
              </w:rPr>
              <w:t xml:space="preserve"> Homicidio en Riña Tumultuaria: “Cuando riñendo varios y acometiéndose entre sí, confusa y tumultuariamente, hubiere resultado muerte de una o más personas y no constare su autor, pero sí los que hubieren causado lesiones graves, se impondrá a éstos prisión de seis a doce años. No constando quién o quiénes causaron las </w:t>
            </w:r>
            <w:r w:rsidRPr="00C77B3D">
              <w:rPr>
                <w:rFonts w:asciiTheme="minorHAnsi" w:hAnsiTheme="minorHAnsi"/>
                <w:sz w:val="24"/>
                <w:szCs w:val="24"/>
              </w:rPr>
              <w:lastRenderedPageBreak/>
              <w:t>lesiones, se impondrá a todos los partícipes prisión de dos a seis años.”</w:t>
            </w:r>
          </w:p>
        </w:tc>
        <w:tc>
          <w:tcPr>
            <w:tcW w:w="1575" w:type="dxa"/>
            <w:vAlign w:val="center"/>
          </w:tcPr>
          <w:p w:rsidR="000B42A4" w:rsidRPr="00990B16" w:rsidRDefault="00C77B3D" w:rsidP="00C77B3D">
            <w:pPr>
              <w:spacing w:line="360" w:lineRule="auto"/>
              <w:jc w:val="center"/>
              <w:cnfStyle w:val="000000000000"/>
              <w:rPr>
                <w:rFonts w:asciiTheme="minorHAnsi" w:hAnsiTheme="minorHAnsi"/>
                <w:sz w:val="24"/>
                <w:szCs w:val="24"/>
              </w:rPr>
            </w:pPr>
            <w:r>
              <w:rPr>
                <w:rFonts w:asciiTheme="minorHAnsi" w:hAnsiTheme="minorHAnsi"/>
                <w:sz w:val="24"/>
                <w:szCs w:val="24"/>
              </w:rPr>
              <w:lastRenderedPageBreak/>
              <w:t>---</w:t>
            </w:r>
          </w:p>
        </w:tc>
      </w:tr>
      <w:tr w:rsidR="000B42A4" w:rsidRPr="00990B16" w:rsidTr="00B21EF7">
        <w:trPr>
          <w:cnfStyle w:val="000000100000"/>
          <w:jc w:val="center"/>
        </w:trPr>
        <w:tc>
          <w:tcPr>
            <w:cnfStyle w:val="001000000000"/>
            <w:tcW w:w="1728" w:type="dxa"/>
            <w:vAlign w:val="center"/>
          </w:tcPr>
          <w:p w:rsidR="000B42A4" w:rsidRPr="00990B16" w:rsidRDefault="000B42A4" w:rsidP="00C77B3D">
            <w:pPr>
              <w:spacing w:line="360" w:lineRule="auto"/>
              <w:jc w:val="center"/>
              <w:rPr>
                <w:rFonts w:asciiTheme="minorHAnsi" w:hAnsiTheme="minorHAnsi"/>
                <w:b w:val="0"/>
                <w:sz w:val="24"/>
                <w:szCs w:val="24"/>
              </w:rPr>
            </w:pPr>
            <w:r w:rsidRPr="00990B16">
              <w:rPr>
                <w:rFonts w:asciiTheme="minorHAnsi" w:hAnsiTheme="minorHAnsi"/>
                <w:sz w:val="24"/>
                <w:szCs w:val="24"/>
              </w:rPr>
              <w:lastRenderedPageBreak/>
              <w:t>Ministerio de Gobernación</w:t>
            </w:r>
          </w:p>
        </w:tc>
        <w:tc>
          <w:tcPr>
            <w:tcW w:w="6275" w:type="dxa"/>
            <w:vAlign w:val="center"/>
          </w:tcPr>
          <w:p w:rsidR="000B42A4" w:rsidRPr="00990B16" w:rsidRDefault="00C77B3D" w:rsidP="00C77B3D">
            <w:pPr>
              <w:spacing w:line="360" w:lineRule="auto"/>
              <w:jc w:val="center"/>
              <w:cnfStyle w:val="000000100000"/>
              <w:rPr>
                <w:rFonts w:asciiTheme="minorHAnsi" w:hAnsiTheme="minorHAnsi"/>
                <w:sz w:val="24"/>
                <w:szCs w:val="24"/>
              </w:rPr>
            </w:pPr>
            <w:r>
              <w:rPr>
                <w:rFonts w:asciiTheme="minorHAnsi" w:hAnsiTheme="minorHAnsi"/>
                <w:sz w:val="24"/>
                <w:szCs w:val="24"/>
              </w:rPr>
              <w:t>---</w:t>
            </w:r>
          </w:p>
        </w:tc>
        <w:tc>
          <w:tcPr>
            <w:tcW w:w="1575" w:type="dxa"/>
            <w:vAlign w:val="center"/>
          </w:tcPr>
          <w:p w:rsidR="000B42A4" w:rsidRPr="00990B16" w:rsidRDefault="00C77B3D" w:rsidP="00C77B3D">
            <w:pPr>
              <w:spacing w:line="360" w:lineRule="auto"/>
              <w:jc w:val="center"/>
              <w:cnfStyle w:val="000000100000"/>
              <w:rPr>
                <w:rFonts w:asciiTheme="minorHAnsi" w:hAnsiTheme="minorHAnsi"/>
                <w:sz w:val="24"/>
                <w:szCs w:val="24"/>
              </w:rPr>
            </w:pPr>
            <w:r>
              <w:rPr>
                <w:rFonts w:asciiTheme="minorHAnsi" w:hAnsiTheme="minorHAnsi"/>
                <w:sz w:val="24"/>
                <w:szCs w:val="24"/>
              </w:rPr>
              <w:t>---</w:t>
            </w:r>
          </w:p>
        </w:tc>
      </w:tr>
      <w:tr w:rsidR="000B42A4" w:rsidRPr="00990B16" w:rsidTr="00B21EF7">
        <w:trPr>
          <w:jc w:val="center"/>
        </w:trPr>
        <w:tc>
          <w:tcPr>
            <w:cnfStyle w:val="001000000000"/>
            <w:tcW w:w="1728" w:type="dxa"/>
            <w:vAlign w:val="center"/>
          </w:tcPr>
          <w:p w:rsidR="000B42A4" w:rsidRPr="00990B16" w:rsidRDefault="000B42A4" w:rsidP="00C77B3D">
            <w:pPr>
              <w:spacing w:line="360" w:lineRule="auto"/>
              <w:jc w:val="center"/>
              <w:rPr>
                <w:rFonts w:asciiTheme="minorHAnsi" w:hAnsiTheme="minorHAnsi"/>
                <w:b w:val="0"/>
                <w:sz w:val="24"/>
                <w:szCs w:val="24"/>
              </w:rPr>
            </w:pPr>
            <w:r w:rsidRPr="00990B16">
              <w:rPr>
                <w:rFonts w:asciiTheme="minorHAnsi" w:hAnsiTheme="minorHAnsi"/>
                <w:sz w:val="24"/>
                <w:szCs w:val="24"/>
              </w:rPr>
              <w:t>Ministerio Público</w:t>
            </w:r>
          </w:p>
        </w:tc>
        <w:tc>
          <w:tcPr>
            <w:tcW w:w="6275" w:type="dxa"/>
            <w:vAlign w:val="center"/>
          </w:tcPr>
          <w:p w:rsidR="000B42A4" w:rsidRPr="00C77B3D" w:rsidRDefault="00C77B3D" w:rsidP="00C77B3D">
            <w:pPr>
              <w:spacing w:line="360" w:lineRule="auto"/>
              <w:jc w:val="center"/>
              <w:cnfStyle w:val="000000000000"/>
              <w:rPr>
                <w:rFonts w:asciiTheme="minorHAnsi" w:hAnsiTheme="minorHAnsi"/>
                <w:sz w:val="24"/>
                <w:szCs w:val="24"/>
              </w:rPr>
            </w:pPr>
            <w:r w:rsidRPr="00C77B3D">
              <w:rPr>
                <w:rFonts w:asciiTheme="minorHAnsi" w:hAnsiTheme="minorHAnsi"/>
                <w:sz w:val="24"/>
                <w:szCs w:val="24"/>
              </w:rPr>
              <w:t>---</w:t>
            </w:r>
          </w:p>
        </w:tc>
        <w:tc>
          <w:tcPr>
            <w:tcW w:w="1575" w:type="dxa"/>
            <w:vAlign w:val="center"/>
          </w:tcPr>
          <w:p w:rsidR="000B42A4" w:rsidRPr="00C77B3D" w:rsidRDefault="00C77B3D" w:rsidP="00C77B3D">
            <w:pPr>
              <w:spacing w:line="360" w:lineRule="auto"/>
              <w:jc w:val="center"/>
              <w:cnfStyle w:val="000000000000"/>
              <w:rPr>
                <w:rFonts w:asciiTheme="minorHAnsi" w:hAnsiTheme="minorHAnsi"/>
                <w:sz w:val="24"/>
                <w:szCs w:val="24"/>
              </w:rPr>
            </w:pPr>
            <w:r>
              <w:rPr>
                <w:rFonts w:asciiTheme="minorHAnsi" w:hAnsiTheme="minorHAnsi"/>
                <w:sz w:val="24"/>
                <w:szCs w:val="24"/>
              </w:rPr>
              <w:t>---</w:t>
            </w:r>
          </w:p>
        </w:tc>
      </w:tr>
      <w:tr w:rsidR="000B42A4" w:rsidRPr="00990B16" w:rsidTr="00B21EF7">
        <w:trPr>
          <w:cnfStyle w:val="000000100000"/>
          <w:jc w:val="center"/>
        </w:trPr>
        <w:tc>
          <w:tcPr>
            <w:cnfStyle w:val="001000000000"/>
            <w:tcW w:w="1728" w:type="dxa"/>
            <w:vAlign w:val="center"/>
          </w:tcPr>
          <w:p w:rsidR="000B42A4" w:rsidRPr="00990B16" w:rsidRDefault="000B42A4" w:rsidP="00C77B3D">
            <w:pPr>
              <w:spacing w:line="360" w:lineRule="auto"/>
              <w:jc w:val="center"/>
              <w:rPr>
                <w:rFonts w:asciiTheme="minorHAnsi" w:hAnsiTheme="minorHAnsi"/>
                <w:b w:val="0"/>
                <w:sz w:val="24"/>
                <w:szCs w:val="24"/>
              </w:rPr>
            </w:pPr>
            <w:r w:rsidRPr="00990B16">
              <w:rPr>
                <w:rFonts w:asciiTheme="minorHAnsi" w:hAnsiTheme="minorHAnsi"/>
                <w:sz w:val="24"/>
                <w:szCs w:val="24"/>
              </w:rPr>
              <w:t>Organismo Judicial</w:t>
            </w:r>
          </w:p>
        </w:tc>
        <w:tc>
          <w:tcPr>
            <w:tcW w:w="6275" w:type="dxa"/>
            <w:vAlign w:val="center"/>
          </w:tcPr>
          <w:p w:rsidR="000B42A4" w:rsidRPr="00990B16" w:rsidRDefault="000B42A4" w:rsidP="00C77B3D">
            <w:pPr>
              <w:spacing w:line="360" w:lineRule="auto"/>
              <w:jc w:val="center"/>
              <w:cnfStyle w:val="000000100000"/>
              <w:rPr>
                <w:rFonts w:asciiTheme="minorHAnsi" w:hAnsiTheme="minorHAnsi"/>
                <w:sz w:val="24"/>
                <w:szCs w:val="24"/>
              </w:rPr>
            </w:pPr>
            <w:r w:rsidRPr="00990B16">
              <w:rPr>
                <w:rFonts w:asciiTheme="minorHAnsi" w:hAnsiTheme="minorHAnsi"/>
                <w:sz w:val="24"/>
                <w:szCs w:val="24"/>
              </w:rPr>
              <w:t>“Acción de darle muerte a una o varias personas en forma violenta, por medio de una multitud, regularmente incitada por líderes negativos que provocan el linchamiento, sin darle oportunidad a la víctima de defenderse en proceso legal”</w:t>
            </w:r>
          </w:p>
        </w:tc>
        <w:tc>
          <w:tcPr>
            <w:tcW w:w="1575" w:type="dxa"/>
            <w:vAlign w:val="center"/>
          </w:tcPr>
          <w:p w:rsidR="000B42A4" w:rsidRPr="00990B16" w:rsidRDefault="000B42A4" w:rsidP="00C77B3D">
            <w:pPr>
              <w:spacing w:line="360" w:lineRule="auto"/>
              <w:jc w:val="center"/>
              <w:cnfStyle w:val="000000100000"/>
              <w:rPr>
                <w:rFonts w:asciiTheme="minorHAnsi" w:hAnsiTheme="minorHAnsi"/>
                <w:sz w:val="24"/>
                <w:szCs w:val="24"/>
              </w:rPr>
            </w:pPr>
            <w:r w:rsidRPr="00990B16">
              <w:rPr>
                <w:rFonts w:asciiTheme="minorHAnsi" w:hAnsiTheme="minorHAnsi"/>
                <w:sz w:val="24"/>
                <w:szCs w:val="24"/>
              </w:rPr>
              <w:t>Conato o intento</w:t>
            </w:r>
          </w:p>
          <w:p w:rsidR="000B42A4" w:rsidRPr="00990B16" w:rsidRDefault="000B42A4" w:rsidP="00C77B3D">
            <w:pPr>
              <w:spacing w:line="360" w:lineRule="auto"/>
              <w:jc w:val="center"/>
              <w:cnfStyle w:val="000000100000"/>
              <w:rPr>
                <w:rFonts w:asciiTheme="minorHAnsi" w:hAnsiTheme="minorHAnsi"/>
                <w:sz w:val="24"/>
                <w:szCs w:val="24"/>
              </w:rPr>
            </w:pPr>
            <w:r w:rsidRPr="00990B16">
              <w:rPr>
                <w:rFonts w:asciiTheme="minorHAnsi" w:hAnsiTheme="minorHAnsi"/>
                <w:sz w:val="24"/>
                <w:szCs w:val="24"/>
              </w:rPr>
              <w:t>Vapuleo</w:t>
            </w:r>
          </w:p>
          <w:p w:rsidR="000B42A4" w:rsidRPr="00990B16" w:rsidRDefault="000B42A4" w:rsidP="00C77B3D">
            <w:pPr>
              <w:spacing w:line="360" w:lineRule="auto"/>
              <w:jc w:val="center"/>
              <w:cnfStyle w:val="000000100000"/>
              <w:rPr>
                <w:rFonts w:asciiTheme="minorHAnsi" w:hAnsiTheme="minorHAnsi"/>
                <w:sz w:val="24"/>
                <w:szCs w:val="24"/>
              </w:rPr>
            </w:pPr>
            <w:r w:rsidRPr="00990B16">
              <w:rPr>
                <w:rFonts w:asciiTheme="minorHAnsi" w:hAnsiTheme="minorHAnsi"/>
                <w:sz w:val="24"/>
                <w:szCs w:val="24"/>
              </w:rPr>
              <w:t>Linchamiento</w:t>
            </w:r>
          </w:p>
        </w:tc>
      </w:tr>
      <w:tr w:rsidR="000B42A4" w:rsidRPr="00990B16" w:rsidTr="00B21EF7">
        <w:trPr>
          <w:jc w:val="center"/>
        </w:trPr>
        <w:tc>
          <w:tcPr>
            <w:cnfStyle w:val="001000000000"/>
            <w:tcW w:w="1728" w:type="dxa"/>
            <w:vAlign w:val="center"/>
          </w:tcPr>
          <w:p w:rsidR="000B42A4" w:rsidRPr="00990B16" w:rsidRDefault="000B42A4" w:rsidP="00C77B3D">
            <w:pPr>
              <w:spacing w:line="360" w:lineRule="auto"/>
              <w:jc w:val="center"/>
              <w:rPr>
                <w:rFonts w:asciiTheme="minorHAnsi" w:hAnsiTheme="minorHAnsi"/>
                <w:b w:val="0"/>
                <w:sz w:val="24"/>
                <w:szCs w:val="24"/>
                <w:highlight w:val="green"/>
              </w:rPr>
            </w:pPr>
            <w:r w:rsidRPr="00990B16">
              <w:rPr>
                <w:rFonts w:asciiTheme="minorHAnsi" w:hAnsiTheme="minorHAnsi"/>
                <w:sz w:val="24"/>
                <w:szCs w:val="24"/>
              </w:rPr>
              <w:t>Instituto de defensa pública penal</w:t>
            </w:r>
          </w:p>
        </w:tc>
        <w:tc>
          <w:tcPr>
            <w:tcW w:w="6275" w:type="dxa"/>
            <w:vAlign w:val="center"/>
          </w:tcPr>
          <w:p w:rsidR="000B42A4" w:rsidRPr="00990B16" w:rsidRDefault="00C77B3D" w:rsidP="00C77B3D">
            <w:pPr>
              <w:spacing w:line="360" w:lineRule="auto"/>
              <w:jc w:val="center"/>
              <w:cnfStyle w:val="000000000000"/>
              <w:rPr>
                <w:rFonts w:asciiTheme="minorHAnsi" w:hAnsiTheme="minorHAnsi"/>
                <w:sz w:val="24"/>
                <w:szCs w:val="24"/>
              </w:rPr>
            </w:pPr>
            <w:r>
              <w:rPr>
                <w:rFonts w:asciiTheme="minorHAnsi" w:hAnsiTheme="minorHAnsi"/>
                <w:sz w:val="24"/>
                <w:szCs w:val="24"/>
              </w:rPr>
              <w:t>---</w:t>
            </w:r>
          </w:p>
        </w:tc>
        <w:tc>
          <w:tcPr>
            <w:tcW w:w="1575" w:type="dxa"/>
            <w:vAlign w:val="center"/>
          </w:tcPr>
          <w:p w:rsidR="000B42A4" w:rsidRPr="00990B16" w:rsidRDefault="00C77B3D" w:rsidP="00C77B3D">
            <w:pPr>
              <w:spacing w:line="360" w:lineRule="auto"/>
              <w:jc w:val="center"/>
              <w:cnfStyle w:val="000000000000"/>
              <w:rPr>
                <w:rFonts w:asciiTheme="minorHAnsi" w:hAnsiTheme="minorHAnsi"/>
                <w:sz w:val="24"/>
                <w:szCs w:val="24"/>
              </w:rPr>
            </w:pPr>
            <w:r>
              <w:rPr>
                <w:rFonts w:asciiTheme="minorHAnsi" w:hAnsiTheme="minorHAnsi"/>
                <w:sz w:val="24"/>
                <w:szCs w:val="24"/>
              </w:rPr>
              <w:t>---</w:t>
            </w:r>
          </w:p>
        </w:tc>
      </w:tr>
      <w:tr w:rsidR="000B42A4" w:rsidRPr="00990B16" w:rsidTr="00B21EF7">
        <w:trPr>
          <w:cnfStyle w:val="000000100000"/>
          <w:trHeight w:val="760"/>
          <w:jc w:val="center"/>
        </w:trPr>
        <w:tc>
          <w:tcPr>
            <w:cnfStyle w:val="001000000000"/>
            <w:tcW w:w="1728" w:type="dxa"/>
            <w:vMerge w:val="restart"/>
            <w:vAlign w:val="center"/>
          </w:tcPr>
          <w:p w:rsidR="000B42A4" w:rsidRPr="00990B16" w:rsidRDefault="000B42A4" w:rsidP="00C77B3D">
            <w:pPr>
              <w:spacing w:line="360" w:lineRule="auto"/>
              <w:jc w:val="center"/>
              <w:rPr>
                <w:rFonts w:asciiTheme="minorHAnsi" w:hAnsiTheme="minorHAnsi"/>
                <w:b w:val="0"/>
                <w:sz w:val="24"/>
                <w:szCs w:val="24"/>
              </w:rPr>
            </w:pPr>
            <w:r w:rsidRPr="00990B16">
              <w:rPr>
                <w:rFonts w:asciiTheme="minorHAnsi" w:hAnsiTheme="minorHAnsi"/>
                <w:sz w:val="24"/>
                <w:szCs w:val="24"/>
              </w:rPr>
              <w:t>Procuraduría Derechos Humanos</w:t>
            </w:r>
          </w:p>
        </w:tc>
        <w:tc>
          <w:tcPr>
            <w:tcW w:w="6275" w:type="dxa"/>
            <w:vMerge w:val="restart"/>
            <w:vAlign w:val="center"/>
          </w:tcPr>
          <w:p w:rsidR="000B42A4" w:rsidRPr="00990B16" w:rsidRDefault="000B42A4" w:rsidP="00C77B3D">
            <w:pPr>
              <w:spacing w:line="360" w:lineRule="auto"/>
              <w:jc w:val="center"/>
              <w:cnfStyle w:val="000000100000"/>
              <w:rPr>
                <w:rFonts w:asciiTheme="minorHAnsi" w:hAnsiTheme="minorHAnsi"/>
                <w:sz w:val="24"/>
                <w:szCs w:val="24"/>
              </w:rPr>
            </w:pPr>
            <w:r w:rsidRPr="00990B16">
              <w:rPr>
                <w:rFonts w:asciiTheme="minorHAnsi" w:hAnsiTheme="minorHAnsi"/>
                <w:sz w:val="24"/>
                <w:szCs w:val="24"/>
              </w:rPr>
              <w:t xml:space="preserve">“Una variable de la tortura son los linchamientos, que unas veces son instigados por particulares o actores comunitarios y también en ocasiones incluso por autoridades civiles. En estos actos intervienen multitudes que implicados se hacen cómplices del delito…” “…dos perspectivas de análisis causales o recurrentes. El primero, relaciona indicadores de índole económica o sociocultural y el otro vincula los niveles de presencia e institucionalidad del Estado. Este último es el factor explicativo preponderante de los linchamientos en  Guatemala. La ausencia o presencia del Estado se manifiestan por los despliegues o controles institucionales territoriales o bien por el grado de legitimidad con el que cuentan las autoridades de justicia, investigación y seguridad entre la </w:t>
            </w:r>
            <w:r w:rsidRPr="00990B16">
              <w:rPr>
                <w:rFonts w:asciiTheme="minorHAnsi" w:hAnsiTheme="minorHAnsi"/>
                <w:sz w:val="24"/>
                <w:szCs w:val="24"/>
              </w:rPr>
              <w:lastRenderedPageBreak/>
              <w:t>población. Añadido a esto, hay que agregar las re</w:t>
            </w:r>
            <w:r w:rsidR="00C77B3D">
              <w:rPr>
                <w:rFonts w:asciiTheme="minorHAnsi" w:hAnsiTheme="minorHAnsi"/>
                <w:sz w:val="24"/>
                <w:szCs w:val="24"/>
              </w:rPr>
              <w:t>miniscencias de estrategias con</w:t>
            </w:r>
            <w:r w:rsidRPr="00990B16">
              <w:rPr>
                <w:rFonts w:asciiTheme="minorHAnsi" w:hAnsiTheme="minorHAnsi"/>
                <w:sz w:val="24"/>
                <w:szCs w:val="24"/>
              </w:rPr>
              <w:t>trainsurgentes o de control de la población que usualmente son aplicados durante conflictos armados como el acaecido en la historia reciente de Guatemala.” “Las características generales de los linchamientos describen la falta de castigo, prevención de los delitos o situaciones de violencia. Aunado, se presentan escenarios de impunidad creciente, indefensión, lentitud y corrupción en los procesos judiciales que presionan los niveles de tolerancia de la población, tomando en sus manos, la incapacidad punitiva del Estado.”</w:t>
            </w:r>
          </w:p>
        </w:tc>
        <w:tc>
          <w:tcPr>
            <w:tcW w:w="1575" w:type="dxa"/>
            <w:vAlign w:val="center"/>
          </w:tcPr>
          <w:p w:rsidR="000B42A4" w:rsidRPr="00990B16" w:rsidRDefault="000B42A4" w:rsidP="00C77B3D">
            <w:pPr>
              <w:spacing w:line="360" w:lineRule="auto"/>
              <w:jc w:val="center"/>
              <w:cnfStyle w:val="000000100000"/>
              <w:rPr>
                <w:rFonts w:asciiTheme="minorHAnsi" w:hAnsiTheme="minorHAnsi"/>
                <w:sz w:val="24"/>
                <w:szCs w:val="24"/>
              </w:rPr>
            </w:pPr>
            <w:r w:rsidRPr="00990B16">
              <w:rPr>
                <w:rFonts w:asciiTheme="minorHAnsi" w:hAnsiTheme="minorHAnsi"/>
                <w:sz w:val="24"/>
                <w:szCs w:val="24"/>
              </w:rPr>
              <w:lastRenderedPageBreak/>
              <w:t>Anual</w:t>
            </w:r>
          </w:p>
        </w:tc>
      </w:tr>
      <w:tr w:rsidR="000B42A4" w:rsidRPr="00990B16" w:rsidTr="00B21EF7">
        <w:trPr>
          <w:trHeight w:val="760"/>
          <w:jc w:val="center"/>
        </w:trPr>
        <w:tc>
          <w:tcPr>
            <w:cnfStyle w:val="001000000000"/>
            <w:tcW w:w="1728" w:type="dxa"/>
            <w:vMerge/>
            <w:vAlign w:val="center"/>
          </w:tcPr>
          <w:p w:rsidR="000B42A4" w:rsidRPr="00990B16" w:rsidRDefault="000B42A4" w:rsidP="00C77B3D">
            <w:pPr>
              <w:spacing w:line="360" w:lineRule="auto"/>
              <w:jc w:val="center"/>
              <w:rPr>
                <w:rFonts w:asciiTheme="minorHAnsi" w:hAnsiTheme="minorHAnsi"/>
                <w:b w:val="0"/>
                <w:sz w:val="24"/>
                <w:szCs w:val="24"/>
              </w:rPr>
            </w:pPr>
          </w:p>
        </w:tc>
        <w:tc>
          <w:tcPr>
            <w:tcW w:w="6275" w:type="dxa"/>
            <w:vMerge/>
            <w:vAlign w:val="center"/>
          </w:tcPr>
          <w:p w:rsidR="000B42A4" w:rsidRPr="00990B16" w:rsidRDefault="000B42A4" w:rsidP="00C77B3D">
            <w:pPr>
              <w:spacing w:line="360" w:lineRule="auto"/>
              <w:jc w:val="center"/>
              <w:cnfStyle w:val="000000000000"/>
              <w:rPr>
                <w:rFonts w:asciiTheme="minorHAnsi" w:hAnsiTheme="minorHAnsi"/>
                <w:sz w:val="24"/>
                <w:szCs w:val="24"/>
              </w:rPr>
            </w:pPr>
          </w:p>
        </w:tc>
        <w:tc>
          <w:tcPr>
            <w:tcW w:w="1575" w:type="dxa"/>
            <w:vAlign w:val="center"/>
          </w:tcPr>
          <w:p w:rsidR="000B42A4" w:rsidRPr="00990B16" w:rsidRDefault="000B42A4" w:rsidP="00C77B3D">
            <w:pPr>
              <w:spacing w:line="360" w:lineRule="auto"/>
              <w:jc w:val="center"/>
              <w:cnfStyle w:val="000000000000"/>
              <w:rPr>
                <w:rFonts w:asciiTheme="minorHAnsi" w:hAnsiTheme="minorHAnsi"/>
                <w:sz w:val="24"/>
                <w:szCs w:val="24"/>
              </w:rPr>
            </w:pPr>
            <w:r w:rsidRPr="00990B16">
              <w:rPr>
                <w:rFonts w:asciiTheme="minorHAnsi" w:hAnsiTheme="minorHAnsi"/>
                <w:sz w:val="24"/>
                <w:szCs w:val="24"/>
              </w:rPr>
              <w:t>Promedio</w:t>
            </w:r>
          </w:p>
        </w:tc>
      </w:tr>
      <w:tr w:rsidR="000B42A4" w:rsidRPr="00990B16" w:rsidTr="00B21EF7">
        <w:trPr>
          <w:cnfStyle w:val="000000100000"/>
          <w:trHeight w:val="760"/>
          <w:jc w:val="center"/>
        </w:trPr>
        <w:tc>
          <w:tcPr>
            <w:cnfStyle w:val="001000000000"/>
            <w:tcW w:w="1728" w:type="dxa"/>
            <w:vMerge/>
            <w:vAlign w:val="center"/>
          </w:tcPr>
          <w:p w:rsidR="000B42A4" w:rsidRPr="00990B16" w:rsidRDefault="000B42A4" w:rsidP="00C77B3D">
            <w:pPr>
              <w:spacing w:line="360" w:lineRule="auto"/>
              <w:jc w:val="center"/>
              <w:rPr>
                <w:rFonts w:asciiTheme="minorHAnsi" w:hAnsiTheme="minorHAnsi"/>
                <w:b w:val="0"/>
                <w:sz w:val="24"/>
                <w:szCs w:val="24"/>
              </w:rPr>
            </w:pPr>
          </w:p>
        </w:tc>
        <w:tc>
          <w:tcPr>
            <w:tcW w:w="6275" w:type="dxa"/>
            <w:vMerge/>
            <w:vAlign w:val="center"/>
          </w:tcPr>
          <w:p w:rsidR="000B42A4" w:rsidRPr="00990B16" w:rsidRDefault="000B42A4" w:rsidP="00C77B3D">
            <w:pPr>
              <w:spacing w:line="360" w:lineRule="auto"/>
              <w:jc w:val="center"/>
              <w:cnfStyle w:val="000000100000"/>
              <w:rPr>
                <w:rFonts w:asciiTheme="minorHAnsi" w:hAnsiTheme="minorHAnsi"/>
                <w:sz w:val="24"/>
                <w:szCs w:val="24"/>
              </w:rPr>
            </w:pPr>
          </w:p>
        </w:tc>
        <w:tc>
          <w:tcPr>
            <w:tcW w:w="1575" w:type="dxa"/>
            <w:vAlign w:val="center"/>
          </w:tcPr>
          <w:p w:rsidR="000B42A4" w:rsidRPr="00990B16" w:rsidRDefault="000B42A4" w:rsidP="00C77B3D">
            <w:pPr>
              <w:spacing w:line="360" w:lineRule="auto"/>
              <w:jc w:val="center"/>
              <w:cnfStyle w:val="000000100000"/>
              <w:rPr>
                <w:rFonts w:asciiTheme="minorHAnsi" w:hAnsiTheme="minorHAnsi"/>
                <w:sz w:val="24"/>
                <w:szCs w:val="24"/>
              </w:rPr>
            </w:pPr>
            <w:r w:rsidRPr="00990B16">
              <w:rPr>
                <w:rFonts w:asciiTheme="minorHAnsi" w:hAnsiTheme="minorHAnsi"/>
                <w:sz w:val="24"/>
                <w:szCs w:val="24"/>
              </w:rPr>
              <w:t>Resultado</w:t>
            </w:r>
          </w:p>
          <w:p w:rsidR="000B42A4" w:rsidRPr="00990B16" w:rsidRDefault="000B42A4" w:rsidP="00C77B3D">
            <w:pPr>
              <w:spacing w:line="360" w:lineRule="auto"/>
              <w:jc w:val="center"/>
              <w:cnfStyle w:val="000000100000"/>
              <w:rPr>
                <w:rFonts w:asciiTheme="minorHAnsi" w:hAnsiTheme="minorHAnsi"/>
                <w:sz w:val="24"/>
                <w:szCs w:val="24"/>
              </w:rPr>
            </w:pPr>
            <w:r w:rsidRPr="00990B16">
              <w:rPr>
                <w:rFonts w:asciiTheme="minorHAnsi" w:hAnsiTheme="minorHAnsi"/>
                <w:sz w:val="24"/>
                <w:szCs w:val="24"/>
              </w:rPr>
              <w:t>Heridos (f /m)</w:t>
            </w:r>
          </w:p>
          <w:p w:rsidR="000B42A4" w:rsidRPr="00990B16" w:rsidRDefault="000B42A4" w:rsidP="00C77B3D">
            <w:pPr>
              <w:spacing w:line="360" w:lineRule="auto"/>
              <w:jc w:val="center"/>
              <w:cnfStyle w:val="000000100000"/>
              <w:rPr>
                <w:rFonts w:asciiTheme="minorHAnsi" w:hAnsiTheme="minorHAnsi"/>
                <w:sz w:val="24"/>
                <w:szCs w:val="24"/>
              </w:rPr>
            </w:pPr>
            <w:r w:rsidRPr="00990B16">
              <w:rPr>
                <w:rFonts w:asciiTheme="minorHAnsi" w:hAnsiTheme="minorHAnsi"/>
                <w:sz w:val="24"/>
                <w:szCs w:val="24"/>
              </w:rPr>
              <w:t>Fallecidos (f/m)</w:t>
            </w:r>
          </w:p>
        </w:tc>
      </w:tr>
    </w:tbl>
    <w:p w:rsidR="00191C07" w:rsidRDefault="00A730BF" w:rsidP="00A157FE">
      <w:pPr>
        <w:pStyle w:val="Ttulo1"/>
        <w:spacing w:line="360" w:lineRule="auto"/>
        <w:jc w:val="center"/>
        <w:rPr>
          <w:rFonts w:ascii="MS Reference Sans Serif" w:hAnsi="MS Reference Sans Serif"/>
          <w:color w:val="000000" w:themeColor="text1"/>
          <w:sz w:val="22"/>
          <w:szCs w:val="22"/>
        </w:rPr>
      </w:pPr>
      <w:bookmarkStart w:id="9" w:name="_Toc369732057"/>
      <w:r w:rsidRPr="00A730BF">
        <w:rPr>
          <w:rFonts w:ascii="MS Reference Sans Serif" w:hAnsi="MS Reference Sans Serif"/>
          <w:color w:val="000000" w:themeColor="text1"/>
          <w:sz w:val="22"/>
          <w:szCs w:val="22"/>
        </w:rPr>
        <w:lastRenderedPageBreak/>
        <w:t>Fuente: elaboración propia con datos del MINGOB, MP, PDH, OJ, IDPP, PNC, INACIF, RAE, 2013</w:t>
      </w:r>
      <w:bookmarkEnd w:id="9"/>
    </w:p>
    <w:p w:rsidR="00CC0377" w:rsidRDefault="00CC0377" w:rsidP="00CC0377"/>
    <w:p w:rsidR="00CC0377" w:rsidRPr="00CC0377" w:rsidRDefault="00CC0377" w:rsidP="00CC0377">
      <w:pPr>
        <w:rPr>
          <w:rFonts w:ascii="MS Reference Sans Serif" w:hAnsi="MS Reference Sans Serif"/>
          <w:sz w:val="24"/>
          <w:szCs w:val="24"/>
        </w:rPr>
      </w:pPr>
    </w:p>
    <w:p w:rsidR="00CC0377" w:rsidRPr="00CC0377" w:rsidRDefault="00CC0377" w:rsidP="00CC0377">
      <w:pPr>
        <w:rPr>
          <w:rFonts w:ascii="MS Reference Sans Serif" w:hAnsi="MS Reference Sans Serif"/>
          <w:sz w:val="24"/>
          <w:szCs w:val="24"/>
        </w:rPr>
      </w:pPr>
    </w:p>
    <w:p w:rsidR="00CC0377" w:rsidRPr="00CC0377" w:rsidRDefault="00CC0377" w:rsidP="00CC0377">
      <w:pPr>
        <w:rPr>
          <w:rFonts w:ascii="MS Reference Sans Serif" w:hAnsi="MS Reference Sans Serif"/>
          <w:sz w:val="24"/>
          <w:szCs w:val="24"/>
        </w:rPr>
      </w:pPr>
    </w:p>
    <w:p w:rsidR="00CC0377" w:rsidRPr="00CC0377" w:rsidRDefault="00CC0377" w:rsidP="00CC0377">
      <w:pPr>
        <w:rPr>
          <w:rFonts w:ascii="MS Reference Sans Serif" w:hAnsi="MS Reference Sans Serif"/>
          <w:sz w:val="24"/>
          <w:szCs w:val="24"/>
        </w:rPr>
      </w:pPr>
    </w:p>
    <w:p w:rsidR="00CC0377" w:rsidRPr="00CC0377" w:rsidRDefault="00CC0377" w:rsidP="00CC0377">
      <w:pPr>
        <w:rPr>
          <w:rFonts w:ascii="MS Reference Sans Serif" w:hAnsi="MS Reference Sans Serif"/>
          <w:sz w:val="24"/>
          <w:szCs w:val="24"/>
        </w:rPr>
      </w:pPr>
    </w:p>
    <w:p w:rsidR="00CC0377" w:rsidRPr="00CC0377" w:rsidRDefault="00CC0377" w:rsidP="00CC0377">
      <w:pPr>
        <w:rPr>
          <w:rFonts w:ascii="MS Reference Sans Serif" w:hAnsi="MS Reference Sans Serif"/>
          <w:sz w:val="24"/>
          <w:szCs w:val="24"/>
        </w:rPr>
      </w:pPr>
    </w:p>
    <w:p w:rsidR="00CC0377" w:rsidRPr="00CC0377" w:rsidRDefault="00CC0377" w:rsidP="00CC0377">
      <w:pPr>
        <w:rPr>
          <w:rFonts w:ascii="MS Reference Sans Serif" w:hAnsi="MS Reference Sans Serif"/>
          <w:sz w:val="24"/>
          <w:szCs w:val="24"/>
        </w:rPr>
      </w:pPr>
    </w:p>
    <w:p w:rsidR="00CC0377" w:rsidRPr="00CC0377" w:rsidRDefault="00CC0377" w:rsidP="00CC0377">
      <w:pPr>
        <w:rPr>
          <w:rFonts w:ascii="MS Reference Sans Serif" w:hAnsi="MS Reference Sans Serif"/>
          <w:sz w:val="24"/>
          <w:szCs w:val="24"/>
        </w:rPr>
      </w:pPr>
    </w:p>
    <w:p w:rsidR="00CC0377" w:rsidRPr="00CC0377" w:rsidRDefault="00CC0377" w:rsidP="00CC0377">
      <w:pPr>
        <w:rPr>
          <w:rFonts w:ascii="MS Reference Sans Serif" w:hAnsi="MS Reference Sans Serif"/>
          <w:sz w:val="24"/>
          <w:szCs w:val="24"/>
        </w:rPr>
      </w:pPr>
    </w:p>
    <w:p w:rsidR="00CC0377" w:rsidRPr="00CC0377" w:rsidRDefault="00CC0377" w:rsidP="00CC0377">
      <w:pPr>
        <w:rPr>
          <w:rFonts w:ascii="MS Reference Sans Serif" w:hAnsi="MS Reference Sans Serif"/>
          <w:sz w:val="24"/>
          <w:szCs w:val="24"/>
        </w:rPr>
      </w:pPr>
    </w:p>
    <w:p w:rsidR="00CC0377" w:rsidRPr="00CC0377" w:rsidRDefault="00CC0377" w:rsidP="00CC0377">
      <w:pPr>
        <w:rPr>
          <w:rFonts w:ascii="MS Reference Sans Serif" w:hAnsi="MS Reference Sans Serif"/>
          <w:sz w:val="24"/>
          <w:szCs w:val="24"/>
        </w:rPr>
      </w:pPr>
    </w:p>
    <w:p w:rsidR="00CC0377" w:rsidRPr="00CC0377" w:rsidRDefault="00CC0377" w:rsidP="00CC0377">
      <w:pPr>
        <w:rPr>
          <w:rFonts w:ascii="MS Reference Sans Serif" w:hAnsi="MS Reference Sans Serif"/>
          <w:sz w:val="24"/>
          <w:szCs w:val="24"/>
        </w:rPr>
      </w:pPr>
    </w:p>
    <w:p w:rsidR="00CC0377" w:rsidRPr="00CC0377" w:rsidRDefault="00CC0377" w:rsidP="00CC0377">
      <w:pPr>
        <w:rPr>
          <w:rFonts w:ascii="MS Reference Sans Serif" w:hAnsi="MS Reference Sans Serif"/>
          <w:sz w:val="24"/>
          <w:szCs w:val="24"/>
        </w:rPr>
      </w:pPr>
    </w:p>
    <w:p w:rsidR="00CC0377" w:rsidRPr="00CC0377" w:rsidRDefault="00CC0377" w:rsidP="00CC0377">
      <w:pPr>
        <w:rPr>
          <w:rFonts w:ascii="MS Reference Sans Serif" w:hAnsi="MS Reference Sans Serif"/>
          <w:sz w:val="24"/>
          <w:szCs w:val="24"/>
        </w:rPr>
      </w:pPr>
      <w:r w:rsidRPr="00CC0377">
        <w:rPr>
          <w:rFonts w:ascii="MS Reference Sans Serif" w:hAnsi="MS Reference Sans Serif"/>
          <w:sz w:val="24"/>
          <w:szCs w:val="24"/>
        </w:rPr>
        <w:br w:type="page"/>
      </w:r>
    </w:p>
    <w:p w:rsidR="001E1156" w:rsidRPr="00194A75" w:rsidRDefault="001E1156" w:rsidP="006150E5">
      <w:pPr>
        <w:pStyle w:val="Ttulo1"/>
        <w:numPr>
          <w:ilvl w:val="0"/>
          <w:numId w:val="4"/>
        </w:numPr>
        <w:spacing w:line="360" w:lineRule="auto"/>
        <w:rPr>
          <w:color w:val="7F7F7F" w:themeColor="text1" w:themeTint="80"/>
          <w:lang w:val="es-ES_tradnl"/>
        </w:rPr>
      </w:pPr>
      <w:bookmarkStart w:id="10" w:name="_Toc369732058"/>
      <w:r w:rsidRPr="00194A75">
        <w:rPr>
          <w:color w:val="7F7F7F" w:themeColor="text1" w:themeTint="80"/>
          <w:lang w:val="es-ES_tradnl"/>
        </w:rPr>
        <w:lastRenderedPageBreak/>
        <w:t>Ejes estratégicos</w:t>
      </w:r>
      <w:bookmarkEnd w:id="10"/>
      <w:r w:rsidRPr="00194A75">
        <w:rPr>
          <w:color w:val="7F7F7F" w:themeColor="text1" w:themeTint="80"/>
          <w:lang w:val="es-ES_tradnl"/>
        </w:rPr>
        <w:t xml:space="preserve"> </w:t>
      </w:r>
    </w:p>
    <w:p w:rsidR="000B2890" w:rsidRDefault="00CC0377" w:rsidP="001D26AD">
      <w:pPr>
        <w:spacing w:line="360" w:lineRule="auto"/>
        <w:jc w:val="both"/>
        <w:rPr>
          <w:rFonts w:ascii="MS Reference Sans Serif" w:hAnsi="MS Reference Sans Serif"/>
          <w:sz w:val="24"/>
          <w:szCs w:val="24"/>
          <w:lang w:val="es-ES_tradnl"/>
        </w:rPr>
      </w:pPr>
      <w:r>
        <w:rPr>
          <w:rFonts w:ascii="MS Reference Sans Serif" w:hAnsi="MS Reference Sans Serif"/>
          <w:sz w:val="24"/>
          <w:szCs w:val="24"/>
          <w:lang w:val="es-ES_tradnl"/>
        </w:rPr>
        <w:t>Luego de</w:t>
      </w:r>
      <w:r w:rsidR="00E30427">
        <w:rPr>
          <w:rFonts w:ascii="MS Reference Sans Serif" w:hAnsi="MS Reference Sans Serif"/>
          <w:sz w:val="24"/>
          <w:szCs w:val="24"/>
          <w:lang w:val="es-ES_tradnl"/>
        </w:rPr>
        <w:t xml:space="preserve"> identificar las actuales definiciones y clasificaciones que utilizan las instituciones encargadas de velar por la seguridad y la justicia;</w:t>
      </w:r>
      <w:r>
        <w:rPr>
          <w:rFonts w:ascii="MS Reference Sans Serif" w:hAnsi="MS Reference Sans Serif"/>
          <w:sz w:val="24"/>
          <w:szCs w:val="24"/>
          <w:lang w:val="es-ES_tradnl"/>
        </w:rPr>
        <w:t xml:space="preserve"> establecer la definición de violencia colectiva que incluye no sólo a los linchamientos, sino también al vapuleo, </w:t>
      </w:r>
      <w:r w:rsidR="00351907">
        <w:rPr>
          <w:rFonts w:ascii="MS Reference Sans Serif" w:hAnsi="MS Reference Sans Serif"/>
          <w:sz w:val="24"/>
          <w:szCs w:val="24"/>
          <w:lang w:val="es-ES_tradnl"/>
        </w:rPr>
        <w:t>el vigilantismo y el terrorismo</w:t>
      </w:r>
      <w:r w:rsidR="00E30427">
        <w:rPr>
          <w:rFonts w:ascii="MS Reference Sans Serif" w:hAnsi="MS Reference Sans Serif"/>
          <w:sz w:val="24"/>
          <w:szCs w:val="24"/>
          <w:lang w:val="es-ES_tradnl"/>
        </w:rPr>
        <w:t>,</w:t>
      </w:r>
      <w:r w:rsidR="00351907">
        <w:rPr>
          <w:rFonts w:ascii="MS Reference Sans Serif" w:hAnsi="MS Reference Sans Serif"/>
          <w:sz w:val="24"/>
          <w:szCs w:val="24"/>
          <w:lang w:val="es-ES_tradnl"/>
        </w:rPr>
        <w:t xml:space="preserve"> es necesario</w:t>
      </w:r>
      <w:r w:rsidRPr="00CC0377">
        <w:rPr>
          <w:rFonts w:ascii="MS Reference Sans Serif" w:hAnsi="MS Reference Sans Serif"/>
          <w:sz w:val="24"/>
          <w:szCs w:val="24"/>
          <w:lang w:val="es-ES_tradnl"/>
        </w:rPr>
        <w:t xml:space="preserve"> </w:t>
      </w:r>
      <w:r w:rsidR="00351907">
        <w:rPr>
          <w:rFonts w:ascii="MS Reference Sans Serif" w:hAnsi="MS Reference Sans Serif"/>
          <w:sz w:val="24"/>
          <w:szCs w:val="24"/>
          <w:lang w:val="es-ES_tradnl"/>
        </w:rPr>
        <w:t>apoyar el</w:t>
      </w:r>
      <w:r w:rsidRPr="00CC0377">
        <w:rPr>
          <w:rFonts w:ascii="MS Reference Sans Serif" w:hAnsi="MS Reference Sans Serif"/>
          <w:sz w:val="24"/>
          <w:szCs w:val="24"/>
          <w:lang w:val="es-ES_tradnl"/>
        </w:rPr>
        <w:t xml:space="preserve"> proceso</w:t>
      </w:r>
      <w:r w:rsidR="00351907">
        <w:rPr>
          <w:rFonts w:ascii="MS Reference Sans Serif" w:hAnsi="MS Reference Sans Serif"/>
          <w:sz w:val="24"/>
          <w:szCs w:val="24"/>
          <w:lang w:val="es-ES_tradnl"/>
        </w:rPr>
        <w:t xml:space="preserve"> de orientación y planificación que aplique estos conceptos dentro de</w:t>
      </w:r>
      <w:r w:rsidR="00086AA7">
        <w:rPr>
          <w:rFonts w:ascii="MS Reference Sans Serif" w:hAnsi="MS Reference Sans Serif"/>
          <w:sz w:val="24"/>
          <w:szCs w:val="24"/>
          <w:lang w:val="es-ES_tradnl"/>
        </w:rPr>
        <w:t xml:space="preserve"> las institucion</w:t>
      </w:r>
      <w:r w:rsidR="00D21E52">
        <w:rPr>
          <w:rFonts w:ascii="MS Reference Sans Serif" w:hAnsi="MS Reference Sans Serif"/>
          <w:sz w:val="24"/>
          <w:szCs w:val="24"/>
          <w:lang w:val="es-ES_tradnl"/>
        </w:rPr>
        <w:t>es de seguridad. Se definieron cinco</w:t>
      </w:r>
      <w:r w:rsidR="00086AA7">
        <w:rPr>
          <w:rFonts w:ascii="MS Reference Sans Serif" w:hAnsi="MS Reference Sans Serif"/>
          <w:sz w:val="24"/>
          <w:szCs w:val="24"/>
          <w:lang w:val="es-ES_tradnl"/>
        </w:rPr>
        <w:t xml:space="preserve"> ejes estratégicos</w:t>
      </w:r>
      <w:r w:rsidR="000C2364">
        <w:rPr>
          <w:rFonts w:ascii="MS Reference Sans Serif" w:hAnsi="MS Reference Sans Serif"/>
          <w:sz w:val="24"/>
          <w:szCs w:val="24"/>
          <w:lang w:val="es-ES_tradnl"/>
        </w:rPr>
        <w:t xml:space="preserve"> (</w:t>
      </w:r>
      <w:r w:rsidR="000C2364" w:rsidRPr="000C2364">
        <w:rPr>
          <w:rFonts w:ascii="MS Reference Sans Serif" w:hAnsi="MS Reference Sans Serif"/>
          <w:b/>
          <w:color w:val="7F7F7F" w:themeColor="text1" w:themeTint="80"/>
          <w:lang w:val="es-ES_tradnl"/>
        </w:rPr>
        <w:t>Ver tabla 8</w:t>
      </w:r>
      <w:r w:rsidR="000C2364">
        <w:rPr>
          <w:rFonts w:ascii="MS Reference Sans Serif" w:hAnsi="MS Reference Sans Serif"/>
          <w:sz w:val="24"/>
          <w:szCs w:val="24"/>
          <w:lang w:val="es-ES_tradnl"/>
        </w:rPr>
        <w:t xml:space="preserve">) </w:t>
      </w:r>
      <w:r w:rsidR="00086AA7">
        <w:rPr>
          <w:rFonts w:ascii="MS Reference Sans Serif" w:hAnsi="MS Reference Sans Serif"/>
          <w:sz w:val="24"/>
          <w:szCs w:val="24"/>
          <w:lang w:val="es-ES_tradnl"/>
        </w:rPr>
        <w:t xml:space="preserve"> de t</w:t>
      </w:r>
      <w:r w:rsidR="00352F9D">
        <w:rPr>
          <w:rFonts w:ascii="MS Reference Sans Serif" w:hAnsi="MS Reference Sans Serif"/>
          <w:sz w:val="24"/>
          <w:szCs w:val="24"/>
          <w:lang w:val="es-ES_tradnl"/>
        </w:rPr>
        <w:t>rabajo y cada uno incluye</w:t>
      </w:r>
      <w:r w:rsidR="00086AA7">
        <w:rPr>
          <w:rFonts w:ascii="MS Reference Sans Serif" w:hAnsi="MS Reference Sans Serif"/>
          <w:sz w:val="24"/>
          <w:szCs w:val="24"/>
          <w:lang w:val="es-ES_tradnl"/>
        </w:rPr>
        <w:t xml:space="preserve"> objeti</w:t>
      </w:r>
      <w:r w:rsidR="00352F9D">
        <w:rPr>
          <w:rFonts w:ascii="MS Reference Sans Serif" w:hAnsi="MS Reference Sans Serif"/>
          <w:sz w:val="24"/>
          <w:szCs w:val="24"/>
          <w:lang w:val="es-ES_tradnl"/>
        </w:rPr>
        <w:t>vos, actividades e indicadores. S</w:t>
      </w:r>
      <w:r w:rsidR="00086AA7">
        <w:rPr>
          <w:rFonts w:ascii="MS Reference Sans Serif" w:hAnsi="MS Reference Sans Serif"/>
          <w:sz w:val="24"/>
          <w:szCs w:val="24"/>
          <w:lang w:val="es-ES_tradnl"/>
        </w:rPr>
        <w:t>erá necesario establecer una estimación de recursos físicos humanos y financieros para su implementación.</w:t>
      </w:r>
    </w:p>
    <w:p w:rsidR="000C2364" w:rsidRDefault="000C2364" w:rsidP="001D26AD">
      <w:pPr>
        <w:spacing w:line="360" w:lineRule="auto"/>
        <w:jc w:val="both"/>
        <w:rPr>
          <w:rFonts w:ascii="MS Reference Sans Serif" w:hAnsi="MS Reference Sans Serif"/>
          <w:sz w:val="24"/>
          <w:szCs w:val="24"/>
          <w:lang w:val="es-ES_tradnl"/>
        </w:rPr>
      </w:pPr>
    </w:p>
    <w:p w:rsidR="000C2364" w:rsidRPr="000C2364" w:rsidRDefault="000C2364" w:rsidP="000C2364">
      <w:pPr>
        <w:spacing w:line="360" w:lineRule="auto"/>
        <w:jc w:val="center"/>
        <w:rPr>
          <w:rFonts w:ascii="MS Reference Sans Serif" w:hAnsi="MS Reference Sans Serif"/>
          <w:b/>
          <w:color w:val="7F7F7F" w:themeColor="text1" w:themeTint="80"/>
          <w:sz w:val="24"/>
          <w:szCs w:val="24"/>
          <w:lang w:val="es-ES_tradnl"/>
        </w:rPr>
      </w:pPr>
      <w:r w:rsidRPr="000C2364">
        <w:rPr>
          <w:rFonts w:ascii="MS Reference Sans Serif" w:hAnsi="MS Reference Sans Serif"/>
          <w:b/>
          <w:color w:val="7F7F7F" w:themeColor="text1" w:themeTint="80"/>
          <w:sz w:val="24"/>
          <w:szCs w:val="24"/>
          <w:lang w:val="es-ES_tradnl"/>
        </w:rPr>
        <w:t>Tabla 8: Ejes estratégicos para</w:t>
      </w:r>
      <w:r>
        <w:rPr>
          <w:rFonts w:ascii="MS Reference Sans Serif" w:hAnsi="MS Reference Sans Serif"/>
          <w:b/>
          <w:color w:val="7F7F7F" w:themeColor="text1" w:themeTint="80"/>
          <w:sz w:val="24"/>
          <w:szCs w:val="24"/>
          <w:lang w:val="es-ES_tradnl"/>
        </w:rPr>
        <w:t xml:space="preserve"> la prevención de violencia colectiva</w:t>
      </w:r>
    </w:p>
    <w:p w:rsidR="00BE1DDD" w:rsidRDefault="00BE1DDD" w:rsidP="001D26AD">
      <w:pPr>
        <w:spacing w:line="360" w:lineRule="auto"/>
        <w:jc w:val="both"/>
        <w:rPr>
          <w:rFonts w:ascii="MS Reference Sans Serif" w:hAnsi="MS Reference Sans Serif"/>
          <w:sz w:val="24"/>
          <w:szCs w:val="24"/>
          <w:lang w:val="es-ES_tradnl"/>
        </w:rPr>
      </w:pPr>
      <w:r>
        <w:rPr>
          <w:rFonts w:ascii="MS Reference Sans Serif" w:hAnsi="MS Reference Sans Serif"/>
          <w:noProof/>
          <w:sz w:val="24"/>
          <w:szCs w:val="24"/>
          <w:lang w:eastAsia="es-ES"/>
        </w:rPr>
        <w:drawing>
          <wp:inline distT="0" distB="0" distL="0" distR="0">
            <wp:extent cx="5837274" cy="4805916"/>
            <wp:effectExtent l="0" t="0" r="0" b="0"/>
            <wp:docPr id="6" name="Diagrama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rsidR="00AA729D" w:rsidRPr="00194A75" w:rsidRDefault="00AA729D" w:rsidP="006150E5">
      <w:pPr>
        <w:pStyle w:val="Ttulo1"/>
        <w:numPr>
          <w:ilvl w:val="0"/>
          <w:numId w:val="4"/>
        </w:numPr>
        <w:rPr>
          <w:color w:val="7F7F7F" w:themeColor="text1" w:themeTint="80"/>
        </w:rPr>
      </w:pPr>
      <w:bookmarkStart w:id="11" w:name="_Toc369732059"/>
      <w:r w:rsidRPr="00194A75">
        <w:rPr>
          <w:color w:val="7F7F7F" w:themeColor="text1" w:themeTint="80"/>
        </w:rPr>
        <w:lastRenderedPageBreak/>
        <w:t>Objetivos</w:t>
      </w:r>
      <w:bookmarkEnd w:id="11"/>
    </w:p>
    <w:p w:rsidR="009F7AD6" w:rsidRDefault="009F7AD6" w:rsidP="009F7AD6">
      <w:pPr>
        <w:jc w:val="both"/>
        <w:rPr>
          <w:rFonts w:ascii="MS Reference Sans Serif" w:hAnsi="MS Reference Sans Serif"/>
          <w:sz w:val="24"/>
          <w:szCs w:val="24"/>
        </w:rPr>
      </w:pPr>
    </w:p>
    <w:p w:rsidR="009F7AD6" w:rsidRDefault="009C59BD" w:rsidP="009F7AD6">
      <w:pPr>
        <w:jc w:val="both"/>
        <w:rPr>
          <w:rFonts w:ascii="MS Reference Sans Serif" w:hAnsi="MS Reference Sans Serif"/>
          <w:sz w:val="24"/>
          <w:szCs w:val="24"/>
        </w:rPr>
      </w:pPr>
      <w:r>
        <w:rPr>
          <w:rFonts w:ascii="MS Reference Sans Serif" w:hAnsi="MS Reference Sans Serif"/>
          <w:sz w:val="24"/>
          <w:szCs w:val="24"/>
        </w:rPr>
        <w:t xml:space="preserve">Se identificaron </w:t>
      </w:r>
      <w:r w:rsidR="00B603CB">
        <w:rPr>
          <w:rFonts w:ascii="MS Reference Sans Serif" w:hAnsi="MS Reference Sans Serif"/>
          <w:sz w:val="24"/>
          <w:szCs w:val="24"/>
        </w:rPr>
        <w:t xml:space="preserve">cinco objetivos </w:t>
      </w:r>
      <w:r w:rsidR="00105C8E">
        <w:rPr>
          <w:rFonts w:ascii="MS Reference Sans Serif" w:hAnsi="MS Reference Sans Serif"/>
          <w:sz w:val="24"/>
          <w:szCs w:val="24"/>
        </w:rPr>
        <w:t>que derivan de los ejes estratégicos y son los siguientes:</w:t>
      </w:r>
    </w:p>
    <w:p w:rsidR="00105C8E" w:rsidRPr="009F7AD6" w:rsidRDefault="00105C8E" w:rsidP="009F7AD6">
      <w:pPr>
        <w:jc w:val="both"/>
        <w:rPr>
          <w:rFonts w:ascii="MS Reference Sans Serif" w:hAnsi="MS Reference Sans Serif"/>
          <w:sz w:val="24"/>
          <w:szCs w:val="24"/>
        </w:rPr>
      </w:pPr>
    </w:p>
    <w:p w:rsidR="009F7AD6" w:rsidRPr="009F7AD6" w:rsidRDefault="009C59BD" w:rsidP="009F7AD6">
      <w:pPr>
        <w:pStyle w:val="Prrafodelista"/>
        <w:numPr>
          <w:ilvl w:val="0"/>
          <w:numId w:val="6"/>
        </w:numPr>
        <w:jc w:val="both"/>
        <w:rPr>
          <w:rFonts w:ascii="MS Reference Sans Serif" w:hAnsi="MS Reference Sans Serif"/>
          <w:sz w:val="24"/>
          <w:szCs w:val="24"/>
        </w:rPr>
      </w:pPr>
      <w:r w:rsidRPr="009F7AD6">
        <w:rPr>
          <w:rFonts w:ascii="MS Reference Sans Serif" w:hAnsi="MS Reference Sans Serif"/>
          <w:sz w:val="24"/>
          <w:szCs w:val="24"/>
        </w:rPr>
        <w:t>Desarrollar</w:t>
      </w:r>
      <w:r w:rsidR="009F7AD6" w:rsidRPr="009F7AD6">
        <w:rPr>
          <w:rFonts w:ascii="MS Reference Sans Serif" w:hAnsi="MS Reference Sans Serif"/>
          <w:sz w:val="24"/>
          <w:szCs w:val="24"/>
        </w:rPr>
        <w:t xml:space="preserve"> los conocimientos de la población en general sobre el derecho a</w:t>
      </w:r>
      <w:r>
        <w:rPr>
          <w:rFonts w:ascii="MS Reference Sans Serif" w:hAnsi="MS Reference Sans Serif"/>
          <w:sz w:val="24"/>
          <w:szCs w:val="24"/>
        </w:rPr>
        <w:t xml:space="preserve"> la vida a nivel comunitario para la prevención de violencia colectiva.</w:t>
      </w:r>
    </w:p>
    <w:p w:rsidR="009C59BD" w:rsidRPr="009C59BD" w:rsidRDefault="009C59BD" w:rsidP="009C59BD">
      <w:pPr>
        <w:pStyle w:val="Prrafodelista"/>
        <w:numPr>
          <w:ilvl w:val="0"/>
          <w:numId w:val="6"/>
        </w:numPr>
        <w:jc w:val="both"/>
        <w:rPr>
          <w:rFonts w:ascii="MS Reference Sans Serif" w:hAnsi="MS Reference Sans Serif"/>
          <w:sz w:val="24"/>
          <w:szCs w:val="24"/>
        </w:rPr>
      </w:pPr>
      <w:r w:rsidRPr="009F7AD6">
        <w:rPr>
          <w:rFonts w:ascii="MS Reference Sans Serif" w:hAnsi="MS Reference Sans Serif"/>
          <w:sz w:val="24"/>
          <w:szCs w:val="24"/>
        </w:rPr>
        <w:t>Organizar</w:t>
      </w:r>
      <w:r>
        <w:rPr>
          <w:rFonts w:ascii="MS Reference Sans Serif" w:hAnsi="MS Reference Sans Serif"/>
          <w:sz w:val="24"/>
          <w:szCs w:val="24"/>
        </w:rPr>
        <w:t xml:space="preserve"> y crear</w:t>
      </w:r>
      <w:r w:rsidR="009F7AD6" w:rsidRPr="009F7AD6">
        <w:rPr>
          <w:rFonts w:ascii="MS Reference Sans Serif" w:hAnsi="MS Reference Sans Serif"/>
          <w:sz w:val="24"/>
          <w:szCs w:val="24"/>
        </w:rPr>
        <w:t xml:space="preserve"> mecanismos de prevención de violaciones o potenciales violaciones al </w:t>
      </w:r>
      <w:r>
        <w:rPr>
          <w:rFonts w:ascii="MS Reference Sans Serif" w:hAnsi="MS Reference Sans Serif"/>
          <w:sz w:val="24"/>
          <w:szCs w:val="24"/>
        </w:rPr>
        <w:t>derecho a la vida por causas de violencia colectiva</w:t>
      </w:r>
    </w:p>
    <w:p w:rsidR="009C59BD" w:rsidRDefault="009F7AD6" w:rsidP="009F7AD6">
      <w:pPr>
        <w:pStyle w:val="Prrafodelista"/>
        <w:numPr>
          <w:ilvl w:val="0"/>
          <w:numId w:val="6"/>
        </w:numPr>
        <w:jc w:val="both"/>
        <w:rPr>
          <w:rFonts w:ascii="MS Reference Sans Serif" w:hAnsi="MS Reference Sans Serif"/>
          <w:sz w:val="24"/>
          <w:szCs w:val="24"/>
        </w:rPr>
      </w:pPr>
      <w:r w:rsidRPr="009F7AD6">
        <w:rPr>
          <w:rFonts w:ascii="MS Reference Sans Serif" w:hAnsi="MS Reference Sans Serif"/>
          <w:sz w:val="24"/>
          <w:szCs w:val="24"/>
        </w:rPr>
        <w:t>Fortalecer los conocimientos y habilidades de la</w:t>
      </w:r>
      <w:r w:rsidR="009C59BD">
        <w:rPr>
          <w:rFonts w:ascii="MS Reference Sans Serif" w:hAnsi="MS Reference Sans Serif"/>
          <w:sz w:val="24"/>
          <w:szCs w:val="24"/>
        </w:rPr>
        <w:t>s instituciones estatales, académicas y no gubernamentales para la atención o potenciales violaciones del derecho a la vida por causas de violencia colectiva.</w:t>
      </w:r>
    </w:p>
    <w:p w:rsidR="00B603CB" w:rsidRDefault="009F7AD6" w:rsidP="00B603CB">
      <w:pPr>
        <w:pStyle w:val="Prrafodelista"/>
        <w:numPr>
          <w:ilvl w:val="0"/>
          <w:numId w:val="6"/>
        </w:numPr>
        <w:jc w:val="both"/>
        <w:rPr>
          <w:rFonts w:ascii="MS Reference Sans Serif" w:hAnsi="MS Reference Sans Serif"/>
          <w:b/>
          <w:sz w:val="24"/>
          <w:szCs w:val="24"/>
        </w:rPr>
      </w:pPr>
      <w:r w:rsidRPr="00B603CB">
        <w:rPr>
          <w:rFonts w:ascii="MS Reference Sans Serif" w:hAnsi="MS Reference Sans Serif"/>
          <w:b/>
          <w:sz w:val="24"/>
          <w:szCs w:val="24"/>
        </w:rPr>
        <w:t xml:space="preserve">Establecer los mecanismos que permitan identificar en forma temprana todas aquellas violaciones o potenciales violaciones del derecho a </w:t>
      </w:r>
      <w:r w:rsidR="00B603CB">
        <w:rPr>
          <w:rFonts w:ascii="MS Reference Sans Serif" w:hAnsi="MS Reference Sans Serif"/>
          <w:b/>
          <w:sz w:val="24"/>
          <w:szCs w:val="24"/>
        </w:rPr>
        <w:t>la vida por causas de violencia colectiva</w:t>
      </w:r>
    </w:p>
    <w:p w:rsidR="009F7AD6" w:rsidRPr="00B603CB" w:rsidRDefault="000D34F9" w:rsidP="00B603CB">
      <w:pPr>
        <w:pStyle w:val="Prrafodelista"/>
        <w:numPr>
          <w:ilvl w:val="0"/>
          <w:numId w:val="6"/>
        </w:numPr>
        <w:jc w:val="both"/>
        <w:rPr>
          <w:rFonts w:ascii="MS Reference Sans Serif" w:hAnsi="MS Reference Sans Serif"/>
          <w:b/>
          <w:sz w:val="24"/>
          <w:szCs w:val="24"/>
        </w:rPr>
      </w:pPr>
      <w:r>
        <w:rPr>
          <w:rFonts w:ascii="MS Reference Sans Serif" w:hAnsi="MS Reference Sans Serif"/>
          <w:sz w:val="24"/>
          <w:szCs w:val="24"/>
        </w:rPr>
        <w:t>Desarrollar</w:t>
      </w:r>
      <w:r w:rsidR="003A520D">
        <w:rPr>
          <w:rFonts w:ascii="MS Reference Sans Serif" w:hAnsi="MS Reference Sans Serif"/>
          <w:sz w:val="24"/>
          <w:szCs w:val="24"/>
        </w:rPr>
        <w:t xml:space="preserve"> estrategia</w:t>
      </w:r>
      <w:r>
        <w:rPr>
          <w:rFonts w:ascii="MS Reference Sans Serif" w:hAnsi="MS Reference Sans Serif"/>
          <w:sz w:val="24"/>
          <w:szCs w:val="24"/>
        </w:rPr>
        <w:t>s y alianzas para</w:t>
      </w:r>
      <w:r w:rsidR="009F7AD6" w:rsidRPr="00B603CB">
        <w:rPr>
          <w:rFonts w:ascii="MS Reference Sans Serif" w:hAnsi="MS Reference Sans Serif"/>
          <w:sz w:val="24"/>
          <w:szCs w:val="24"/>
        </w:rPr>
        <w:t xml:space="preserve"> la incorporación dentro de las políticas y programas existentes de todos aquellos mecanismos que fortalezcan el ej</w:t>
      </w:r>
      <w:r>
        <w:rPr>
          <w:rFonts w:ascii="MS Reference Sans Serif" w:hAnsi="MS Reference Sans Serif"/>
          <w:sz w:val="24"/>
          <w:szCs w:val="24"/>
        </w:rPr>
        <w:t>ercicio del derecho a la vida para la prevención de la violencia colectiva.</w:t>
      </w:r>
    </w:p>
    <w:p w:rsidR="00AA729D" w:rsidRPr="00194A75" w:rsidRDefault="00AA729D" w:rsidP="006150E5">
      <w:pPr>
        <w:pStyle w:val="Ttulo1"/>
        <w:numPr>
          <w:ilvl w:val="0"/>
          <w:numId w:val="4"/>
        </w:numPr>
        <w:rPr>
          <w:color w:val="7F7F7F" w:themeColor="text1" w:themeTint="80"/>
        </w:rPr>
      </w:pPr>
      <w:bookmarkStart w:id="12" w:name="_Toc369732060"/>
      <w:r w:rsidRPr="00194A75">
        <w:rPr>
          <w:color w:val="7F7F7F" w:themeColor="text1" w:themeTint="80"/>
        </w:rPr>
        <w:t>Actividades</w:t>
      </w:r>
      <w:bookmarkEnd w:id="12"/>
      <w:r w:rsidRPr="00194A75">
        <w:rPr>
          <w:color w:val="7F7F7F" w:themeColor="text1" w:themeTint="80"/>
        </w:rPr>
        <w:t xml:space="preserve"> </w:t>
      </w:r>
    </w:p>
    <w:p w:rsidR="00545C8D" w:rsidRPr="00545C8D" w:rsidRDefault="00545C8D" w:rsidP="00545C8D">
      <w:pPr>
        <w:rPr>
          <w:rFonts w:ascii="MS Reference Sans Serif" w:hAnsi="MS Reference Sans Serif"/>
          <w:sz w:val="24"/>
          <w:szCs w:val="24"/>
        </w:rPr>
      </w:pPr>
      <w:r>
        <w:rPr>
          <w:rFonts w:ascii="MS Reference Sans Serif" w:hAnsi="MS Reference Sans Serif"/>
          <w:sz w:val="24"/>
          <w:szCs w:val="24"/>
        </w:rPr>
        <w:t>Cada objetivo cuent</w:t>
      </w:r>
      <w:r w:rsidR="002565DD">
        <w:rPr>
          <w:rFonts w:ascii="MS Reference Sans Serif" w:hAnsi="MS Reference Sans Serif"/>
          <w:sz w:val="24"/>
          <w:szCs w:val="24"/>
        </w:rPr>
        <w:t>a con una serie de</w:t>
      </w:r>
      <w:r>
        <w:rPr>
          <w:rFonts w:ascii="MS Reference Sans Serif" w:hAnsi="MS Reference Sans Serif"/>
          <w:sz w:val="24"/>
          <w:szCs w:val="24"/>
        </w:rPr>
        <w:t xml:space="preserve"> actividades específicas:</w:t>
      </w:r>
    </w:p>
    <w:p w:rsidR="009E41CB" w:rsidRDefault="009E41CB" w:rsidP="009E41CB"/>
    <w:tbl>
      <w:tblPr>
        <w:tblStyle w:val="Sombreadoclaro-nfasis11"/>
        <w:tblW w:w="0" w:type="auto"/>
        <w:tblLook w:val="04A0"/>
      </w:tblPr>
      <w:tblGrid>
        <w:gridCol w:w="9578"/>
      </w:tblGrid>
      <w:tr w:rsidR="009E41CB" w:rsidTr="00D06321">
        <w:trPr>
          <w:cnfStyle w:val="100000000000"/>
        </w:trPr>
        <w:tc>
          <w:tcPr>
            <w:cnfStyle w:val="001000000000"/>
            <w:tcW w:w="0" w:type="auto"/>
          </w:tcPr>
          <w:p w:rsidR="000549DB" w:rsidRDefault="00A45444" w:rsidP="007D23A8">
            <w:pPr>
              <w:pStyle w:val="Default"/>
              <w:numPr>
                <w:ilvl w:val="1"/>
                <w:numId w:val="7"/>
              </w:numPr>
              <w:jc w:val="both"/>
              <w:rPr>
                <w:rFonts w:ascii="MS Reference Sans Serif" w:hAnsi="MS Reference Sans Serif"/>
                <w:bCs w:val="0"/>
                <w:color w:val="1F497D" w:themeColor="text2"/>
              </w:rPr>
            </w:pPr>
            <w:r>
              <w:rPr>
                <w:rFonts w:ascii="MS Reference Sans Serif" w:hAnsi="MS Reference Sans Serif"/>
                <w:bCs w:val="0"/>
                <w:color w:val="1F497D" w:themeColor="text2"/>
              </w:rPr>
              <w:t>Coordinar actividades</w:t>
            </w:r>
            <w:r w:rsidR="000549DB" w:rsidRPr="000549DB">
              <w:rPr>
                <w:rFonts w:ascii="MS Reference Sans Serif" w:hAnsi="MS Reference Sans Serif"/>
                <w:bCs w:val="0"/>
                <w:color w:val="1F497D" w:themeColor="text2"/>
              </w:rPr>
              <w:t xml:space="preserve"> </w:t>
            </w:r>
            <w:r w:rsidR="005B250D">
              <w:rPr>
                <w:rFonts w:ascii="MS Reference Sans Serif" w:hAnsi="MS Reference Sans Serif"/>
                <w:bCs w:val="0"/>
                <w:color w:val="1F497D" w:themeColor="text2"/>
              </w:rPr>
              <w:t>comunitarias</w:t>
            </w:r>
            <w:r w:rsidR="000549DB" w:rsidRPr="000549DB">
              <w:rPr>
                <w:rFonts w:ascii="MS Reference Sans Serif" w:hAnsi="MS Reference Sans Serif"/>
                <w:bCs w:val="0"/>
                <w:color w:val="1F497D" w:themeColor="text2"/>
              </w:rPr>
              <w:t xml:space="preserve"> para </w:t>
            </w:r>
            <w:r w:rsidRPr="000549DB">
              <w:rPr>
                <w:rFonts w:ascii="MS Reference Sans Serif" w:hAnsi="MS Reference Sans Serif"/>
                <w:bCs w:val="0"/>
                <w:color w:val="1F497D" w:themeColor="text2"/>
              </w:rPr>
              <w:t>ampliar</w:t>
            </w:r>
            <w:r w:rsidR="000549DB" w:rsidRPr="000549DB">
              <w:rPr>
                <w:rFonts w:ascii="MS Reference Sans Serif" w:hAnsi="MS Reference Sans Serif"/>
                <w:bCs w:val="0"/>
                <w:color w:val="1F497D" w:themeColor="text2"/>
              </w:rPr>
              <w:t xml:space="preserve"> los conocimientos de la población sobre el derecho a la</w:t>
            </w:r>
            <w:r w:rsidR="005B250D">
              <w:rPr>
                <w:rFonts w:ascii="MS Reference Sans Serif" w:hAnsi="MS Reference Sans Serif"/>
                <w:bCs w:val="0"/>
                <w:color w:val="1F497D" w:themeColor="text2"/>
              </w:rPr>
              <w:t xml:space="preserve"> vida</w:t>
            </w:r>
            <w:r w:rsidR="000549DB" w:rsidRPr="000549DB">
              <w:rPr>
                <w:rFonts w:ascii="MS Reference Sans Serif" w:hAnsi="MS Reference Sans Serif"/>
                <w:bCs w:val="0"/>
                <w:color w:val="1F497D" w:themeColor="text2"/>
              </w:rPr>
              <w:t xml:space="preserve"> </w:t>
            </w:r>
            <w:r>
              <w:rPr>
                <w:rFonts w:ascii="MS Reference Sans Serif" w:hAnsi="MS Reference Sans Serif"/>
                <w:bCs w:val="0"/>
                <w:color w:val="1F497D" w:themeColor="text2"/>
              </w:rPr>
              <w:t>orientadas</w:t>
            </w:r>
            <w:r w:rsidR="005B250D">
              <w:rPr>
                <w:rFonts w:ascii="MS Reference Sans Serif" w:hAnsi="MS Reference Sans Serif"/>
                <w:bCs w:val="0"/>
                <w:color w:val="1F497D" w:themeColor="text2"/>
              </w:rPr>
              <w:t xml:space="preserve"> a la prevención de la violencia colectiva</w:t>
            </w:r>
            <w:r w:rsidR="000549DB" w:rsidRPr="000549DB">
              <w:rPr>
                <w:rFonts w:ascii="MS Reference Sans Serif" w:hAnsi="MS Reference Sans Serif"/>
                <w:bCs w:val="0"/>
                <w:color w:val="1F497D" w:themeColor="text2"/>
              </w:rPr>
              <w:t xml:space="preserve">. </w:t>
            </w:r>
          </w:p>
          <w:p w:rsidR="000549DB" w:rsidRPr="004F5F2B" w:rsidRDefault="00A45444" w:rsidP="007D23A8">
            <w:pPr>
              <w:pStyle w:val="Default"/>
              <w:numPr>
                <w:ilvl w:val="1"/>
                <w:numId w:val="7"/>
              </w:numPr>
              <w:jc w:val="both"/>
              <w:rPr>
                <w:rFonts w:ascii="MS Reference Sans Serif" w:hAnsi="MS Reference Sans Serif"/>
                <w:bCs w:val="0"/>
                <w:color w:val="1F497D" w:themeColor="text2"/>
              </w:rPr>
            </w:pPr>
            <w:r w:rsidRPr="000549DB">
              <w:rPr>
                <w:rFonts w:ascii="MS Reference Sans Serif" w:hAnsi="MS Reference Sans Serif"/>
                <w:bCs w:val="0"/>
                <w:color w:val="1F497D" w:themeColor="text2"/>
              </w:rPr>
              <w:t>Construir</w:t>
            </w:r>
            <w:r w:rsidR="000549DB" w:rsidRPr="000549DB">
              <w:rPr>
                <w:rFonts w:ascii="MS Reference Sans Serif" w:hAnsi="MS Reference Sans Serif"/>
                <w:bCs w:val="0"/>
                <w:color w:val="1F497D" w:themeColor="text2"/>
              </w:rPr>
              <w:t xml:space="preserve"> y </w:t>
            </w:r>
            <w:r w:rsidRPr="000549DB">
              <w:rPr>
                <w:rFonts w:ascii="MS Reference Sans Serif" w:hAnsi="MS Reference Sans Serif"/>
                <w:bCs w:val="0"/>
                <w:color w:val="1F497D" w:themeColor="text2"/>
              </w:rPr>
              <w:t>promover</w:t>
            </w:r>
            <w:r w:rsidR="000549DB" w:rsidRPr="000549DB">
              <w:rPr>
                <w:rFonts w:ascii="MS Reference Sans Serif" w:hAnsi="MS Reference Sans Serif"/>
                <w:bCs w:val="0"/>
                <w:color w:val="1F497D" w:themeColor="text2"/>
              </w:rPr>
              <w:t xml:space="preserve"> material educativo de promoción </w:t>
            </w:r>
            <w:r>
              <w:rPr>
                <w:rFonts w:ascii="MS Reference Sans Serif" w:hAnsi="MS Reference Sans Serif"/>
                <w:bCs w:val="0"/>
                <w:color w:val="1F497D" w:themeColor="text2"/>
              </w:rPr>
              <w:t>y prevención del derecho a la vida enfocada en la violencia colectiva</w:t>
            </w:r>
            <w:r w:rsidR="000549DB" w:rsidRPr="000549DB">
              <w:rPr>
                <w:rFonts w:ascii="MS Reference Sans Serif" w:hAnsi="MS Reference Sans Serif"/>
                <w:bCs w:val="0"/>
                <w:color w:val="1F497D" w:themeColor="text2"/>
              </w:rPr>
              <w:t>.</w:t>
            </w:r>
            <w:r w:rsidR="000549DB" w:rsidRPr="004F5F2B">
              <w:rPr>
                <w:rFonts w:ascii="MS Reference Sans Serif" w:hAnsi="MS Reference Sans Serif"/>
                <w:bCs w:val="0"/>
                <w:color w:val="1F497D" w:themeColor="text2"/>
              </w:rPr>
              <w:t xml:space="preserve"> </w:t>
            </w:r>
          </w:p>
          <w:p w:rsidR="004F5F2B" w:rsidRDefault="000549DB" w:rsidP="007D23A8">
            <w:pPr>
              <w:pStyle w:val="Default"/>
              <w:numPr>
                <w:ilvl w:val="1"/>
                <w:numId w:val="7"/>
              </w:numPr>
              <w:jc w:val="both"/>
              <w:rPr>
                <w:rFonts w:ascii="MS Reference Sans Serif" w:hAnsi="MS Reference Sans Serif"/>
                <w:bCs w:val="0"/>
                <w:color w:val="1F497D" w:themeColor="text2"/>
              </w:rPr>
            </w:pPr>
            <w:r w:rsidRPr="000549DB">
              <w:rPr>
                <w:rFonts w:ascii="MS Reference Sans Serif" w:hAnsi="MS Reference Sans Serif"/>
                <w:bCs w:val="0"/>
                <w:color w:val="1F497D" w:themeColor="text2"/>
              </w:rPr>
              <w:t xml:space="preserve">Promover la creación de espacios de reflexión sobre </w:t>
            </w:r>
            <w:r w:rsidR="000F2551">
              <w:rPr>
                <w:rFonts w:ascii="MS Reference Sans Serif" w:hAnsi="MS Reference Sans Serif"/>
                <w:bCs w:val="0"/>
                <w:color w:val="1F497D" w:themeColor="text2"/>
              </w:rPr>
              <w:t>la violencia colectiva</w:t>
            </w:r>
            <w:r w:rsidRPr="000549DB">
              <w:rPr>
                <w:rFonts w:ascii="MS Reference Sans Serif" w:hAnsi="MS Reference Sans Serif"/>
                <w:bCs w:val="0"/>
                <w:color w:val="1F497D" w:themeColor="text2"/>
              </w:rPr>
              <w:t xml:space="preserve"> con entidades formadoras</w:t>
            </w:r>
            <w:r w:rsidR="000F2551">
              <w:rPr>
                <w:rFonts w:ascii="MS Reference Sans Serif" w:hAnsi="MS Reference Sans Serif"/>
                <w:bCs w:val="0"/>
                <w:color w:val="1F497D" w:themeColor="text2"/>
              </w:rPr>
              <w:t xml:space="preserve"> especializadas en el tema</w:t>
            </w:r>
            <w:r w:rsidRPr="000549DB">
              <w:rPr>
                <w:rFonts w:ascii="MS Reference Sans Serif" w:hAnsi="MS Reference Sans Serif"/>
                <w:bCs w:val="0"/>
                <w:color w:val="1F497D" w:themeColor="text2"/>
              </w:rPr>
              <w:t xml:space="preserve">. </w:t>
            </w:r>
          </w:p>
          <w:p w:rsidR="009E41CB" w:rsidRPr="004F5F2B" w:rsidRDefault="00AD4B92" w:rsidP="000F2551">
            <w:pPr>
              <w:pStyle w:val="Default"/>
              <w:numPr>
                <w:ilvl w:val="1"/>
                <w:numId w:val="7"/>
              </w:numPr>
              <w:jc w:val="both"/>
              <w:rPr>
                <w:rFonts w:ascii="MS Reference Sans Serif" w:hAnsi="MS Reference Sans Serif"/>
                <w:bCs w:val="0"/>
                <w:color w:val="1F497D" w:themeColor="text2"/>
              </w:rPr>
            </w:pPr>
            <w:r w:rsidRPr="004F5F2B">
              <w:rPr>
                <w:rFonts w:ascii="MS Reference Sans Serif" w:hAnsi="MS Reference Sans Serif"/>
                <w:color w:val="1F497D" w:themeColor="text2"/>
              </w:rPr>
              <w:t>Construir</w:t>
            </w:r>
            <w:r w:rsidR="001E03A7">
              <w:rPr>
                <w:rFonts w:ascii="MS Reference Sans Serif" w:hAnsi="MS Reference Sans Serif"/>
                <w:color w:val="1F497D" w:themeColor="text2"/>
              </w:rPr>
              <w:t xml:space="preserve"> planes</w:t>
            </w:r>
            <w:r w:rsidR="000549DB" w:rsidRPr="004F5F2B">
              <w:rPr>
                <w:rFonts w:ascii="MS Reference Sans Serif" w:hAnsi="MS Reference Sans Serif"/>
                <w:color w:val="1F497D" w:themeColor="text2"/>
              </w:rPr>
              <w:t xml:space="preserve"> de comunicación relac</w:t>
            </w:r>
            <w:r w:rsidR="000F2551">
              <w:rPr>
                <w:rFonts w:ascii="MS Reference Sans Serif" w:hAnsi="MS Reference Sans Serif"/>
                <w:color w:val="1F497D" w:themeColor="text2"/>
              </w:rPr>
              <w:t>ionado con el derecho a la vida con enfoque transversal de género y multicultural para la prevención de violencia colectiva</w:t>
            </w:r>
            <w:r w:rsidR="000549DB" w:rsidRPr="004F5F2B">
              <w:rPr>
                <w:rFonts w:ascii="MS Reference Sans Serif" w:hAnsi="MS Reference Sans Serif"/>
                <w:color w:val="1F497D" w:themeColor="text2"/>
              </w:rPr>
              <w:t xml:space="preserve">. </w:t>
            </w:r>
          </w:p>
        </w:tc>
      </w:tr>
      <w:tr w:rsidR="009E41CB" w:rsidTr="00D06321">
        <w:trPr>
          <w:cnfStyle w:val="000000100000"/>
        </w:trPr>
        <w:tc>
          <w:tcPr>
            <w:cnfStyle w:val="001000000000"/>
            <w:tcW w:w="0" w:type="auto"/>
          </w:tcPr>
          <w:p w:rsidR="00523725" w:rsidRPr="00523725" w:rsidRDefault="00523725" w:rsidP="007D23A8">
            <w:pPr>
              <w:pStyle w:val="Default"/>
              <w:ind w:left="720" w:hanging="720"/>
              <w:jc w:val="both"/>
              <w:rPr>
                <w:rFonts w:ascii="MS Reference Sans Serif" w:hAnsi="MS Reference Sans Serif"/>
                <w:color w:val="1F497D" w:themeColor="text2"/>
              </w:rPr>
            </w:pPr>
            <w:r w:rsidRPr="00523725">
              <w:rPr>
                <w:rFonts w:ascii="MS Reference Sans Serif" w:hAnsi="MS Reference Sans Serif"/>
                <w:color w:val="1F497D" w:themeColor="text2"/>
              </w:rPr>
              <w:t xml:space="preserve">2.1.  </w:t>
            </w:r>
            <w:r w:rsidR="007D23A8">
              <w:rPr>
                <w:rFonts w:ascii="MS Reference Sans Serif" w:hAnsi="MS Reference Sans Serif"/>
                <w:color w:val="1F497D" w:themeColor="text2"/>
              </w:rPr>
              <w:t xml:space="preserve"> </w:t>
            </w:r>
            <w:r w:rsidRPr="00523725">
              <w:rPr>
                <w:rFonts w:ascii="MS Reference Sans Serif" w:hAnsi="MS Reference Sans Serif"/>
                <w:color w:val="1F497D" w:themeColor="text2"/>
              </w:rPr>
              <w:t>Identificar y clasificar los mecanismos de protección y prevención de violaciones o potenciales violaciones al ejercicio del derecho a la vida enfocada en la violencia colectiva.</w:t>
            </w:r>
          </w:p>
          <w:p w:rsidR="00523725" w:rsidRPr="00523725" w:rsidRDefault="00523725" w:rsidP="007D23A8">
            <w:pPr>
              <w:pStyle w:val="Default"/>
              <w:ind w:left="720" w:hanging="720"/>
              <w:jc w:val="both"/>
              <w:rPr>
                <w:rFonts w:ascii="MS Reference Sans Serif" w:hAnsi="MS Reference Sans Serif"/>
                <w:color w:val="1F497D" w:themeColor="text2"/>
              </w:rPr>
            </w:pPr>
            <w:r>
              <w:rPr>
                <w:rFonts w:ascii="MS Reference Sans Serif" w:hAnsi="MS Reference Sans Serif"/>
                <w:color w:val="1F497D" w:themeColor="text2"/>
              </w:rPr>
              <w:t xml:space="preserve">2.2.   </w:t>
            </w:r>
            <w:r w:rsidRPr="00523725">
              <w:rPr>
                <w:rFonts w:ascii="MS Reference Sans Serif" w:hAnsi="MS Reference Sans Serif"/>
                <w:color w:val="1F497D" w:themeColor="text2"/>
              </w:rPr>
              <w:t>Asesorar y acompañar a las instituciones que poseen mecanismos de protección y prevención de violaciones o potenciales violaciones del derecho a la vida para fortalecer sus capacidades en el ámbito de violencia colectiva.</w:t>
            </w:r>
          </w:p>
          <w:p w:rsidR="00AD4B92" w:rsidRDefault="00523725" w:rsidP="00AD4B92">
            <w:pPr>
              <w:pStyle w:val="Default"/>
              <w:ind w:left="720" w:hanging="720"/>
              <w:jc w:val="both"/>
              <w:rPr>
                <w:rFonts w:ascii="MS Reference Sans Serif" w:hAnsi="MS Reference Sans Serif"/>
                <w:color w:val="1F497D" w:themeColor="text2"/>
              </w:rPr>
            </w:pPr>
            <w:r w:rsidRPr="00523725">
              <w:rPr>
                <w:rFonts w:ascii="MS Reference Sans Serif" w:hAnsi="MS Reference Sans Serif"/>
                <w:color w:val="1F497D" w:themeColor="text2"/>
              </w:rPr>
              <w:lastRenderedPageBreak/>
              <w:t xml:space="preserve">2.3. </w:t>
            </w:r>
            <w:r w:rsidR="00A45444">
              <w:rPr>
                <w:rFonts w:ascii="MS Reference Sans Serif" w:hAnsi="MS Reference Sans Serif"/>
                <w:color w:val="1F497D" w:themeColor="text2"/>
              </w:rPr>
              <w:t xml:space="preserve"> </w:t>
            </w:r>
            <w:r w:rsidRPr="00523725">
              <w:rPr>
                <w:rFonts w:ascii="MS Reference Sans Serif" w:hAnsi="MS Reference Sans Serif"/>
                <w:color w:val="1F497D" w:themeColor="text2"/>
              </w:rPr>
              <w:t>Identificar mecanismos de alternativos de protección y prevención de violaciones o potenciales violaciones del derecho a la vida</w:t>
            </w:r>
            <w:r w:rsidR="002565DD">
              <w:rPr>
                <w:rFonts w:ascii="MS Reference Sans Serif" w:hAnsi="MS Reference Sans Serif"/>
                <w:color w:val="1F497D" w:themeColor="text2"/>
              </w:rPr>
              <w:t xml:space="preserve"> con énfasis en violencia colectiva</w:t>
            </w:r>
            <w:r w:rsidR="00A45444">
              <w:rPr>
                <w:rFonts w:ascii="MS Reference Sans Serif" w:hAnsi="MS Reference Sans Serif"/>
                <w:color w:val="1F497D" w:themeColor="text2"/>
              </w:rPr>
              <w:t>.</w:t>
            </w:r>
          </w:p>
          <w:p w:rsidR="009E41CB" w:rsidRPr="00425141" w:rsidRDefault="00AD4B92" w:rsidP="002565DD">
            <w:pPr>
              <w:pStyle w:val="Default"/>
              <w:ind w:left="720" w:hanging="720"/>
              <w:jc w:val="both"/>
              <w:rPr>
                <w:rFonts w:ascii="MS Reference Sans Serif" w:hAnsi="MS Reference Sans Serif"/>
                <w:color w:val="1F497D" w:themeColor="text2"/>
              </w:rPr>
            </w:pPr>
            <w:r>
              <w:rPr>
                <w:rFonts w:ascii="MS Reference Sans Serif" w:hAnsi="MS Reference Sans Serif"/>
                <w:color w:val="1F497D" w:themeColor="text2"/>
              </w:rPr>
              <w:t xml:space="preserve">2.4.  </w:t>
            </w:r>
            <w:r w:rsidR="00523725" w:rsidRPr="00523725">
              <w:rPr>
                <w:rFonts w:ascii="MS Reference Sans Serif" w:hAnsi="MS Reference Sans Serif"/>
                <w:color w:val="1F497D" w:themeColor="text2"/>
              </w:rPr>
              <w:t>Promover la creación de los mecanismos alternativos de protección y prevención de violaciones o potenciales vi</w:t>
            </w:r>
            <w:r w:rsidR="002565DD">
              <w:rPr>
                <w:rFonts w:ascii="MS Reference Sans Serif" w:hAnsi="MS Reference Sans Serif"/>
                <w:color w:val="1F497D" w:themeColor="text2"/>
              </w:rPr>
              <w:t>olaciones del derecho a la vida con énfasis en violencia colectiva</w:t>
            </w:r>
            <w:r w:rsidR="00A3660F">
              <w:rPr>
                <w:rFonts w:ascii="MS Reference Sans Serif" w:hAnsi="MS Reference Sans Serif"/>
                <w:color w:val="1F497D" w:themeColor="text2"/>
              </w:rPr>
              <w:t>.</w:t>
            </w:r>
          </w:p>
        </w:tc>
      </w:tr>
      <w:tr w:rsidR="009E41CB" w:rsidTr="00D06321">
        <w:tc>
          <w:tcPr>
            <w:cnfStyle w:val="001000000000"/>
            <w:tcW w:w="0" w:type="auto"/>
          </w:tcPr>
          <w:p w:rsidR="00E37F58" w:rsidRDefault="002565DD" w:rsidP="00E37F58">
            <w:pPr>
              <w:pStyle w:val="Default"/>
              <w:ind w:left="720" w:hanging="720"/>
              <w:jc w:val="both"/>
              <w:rPr>
                <w:rFonts w:ascii="MS Reference Sans Serif" w:hAnsi="MS Reference Sans Serif"/>
                <w:bCs w:val="0"/>
                <w:color w:val="1F497D" w:themeColor="text2"/>
              </w:rPr>
            </w:pPr>
            <w:r w:rsidRPr="002565DD">
              <w:rPr>
                <w:rFonts w:ascii="MS Reference Sans Serif" w:hAnsi="MS Reference Sans Serif"/>
                <w:bCs w:val="0"/>
                <w:color w:val="1F497D" w:themeColor="text2"/>
              </w:rPr>
              <w:lastRenderedPageBreak/>
              <w:t xml:space="preserve">3.1. </w:t>
            </w:r>
            <w:r w:rsidR="006A6EE0">
              <w:rPr>
                <w:rFonts w:ascii="MS Reference Sans Serif" w:hAnsi="MS Reference Sans Serif"/>
                <w:bCs w:val="0"/>
                <w:color w:val="1F497D" w:themeColor="text2"/>
              </w:rPr>
              <w:t xml:space="preserve"> </w:t>
            </w:r>
            <w:r w:rsidR="006A6EE0" w:rsidRPr="002565DD">
              <w:rPr>
                <w:rFonts w:ascii="MS Reference Sans Serif" w:hAnsi="MS Reference Sans Serif"/>
                <w:bCs w:val="0"/>
                <w:color w:val="1F497D" w:themeColor="text2"/>
              </w:rPr>
              <w:t>Promover</w:t>
            </w:r>
            <w:r w:rsidR="006A6EE0">
              <w:rPr>
                <w:rFonts w:ascii="MS Reference Sans Serif" w:hAnsi="MS Reference Sans Serif"/>
                <w:bCs w:val="0"/>
                <w:color w:val="1F497D" w:themeColor="text2"/>
              </w:rPr>
              <w:t xml:space="preserve"> la creación de</w:t>
            </w:r>
            <w:r w:rsidRPr="002565DD">
              <w:rPr>
                <w:rFonts w:ascii="MS Reference Sans Serif" w:hAnsi="MS Reference Sans Serif"/>
                <w:bCs w:val="0"/>
                <w:color w:val="1F497D" w:themeColor="text2"/>
              </w:rPr>
              <w:t xml:space="preserve"> un informe </w:t>
            </w:r>
            <w:r w:rsidR="006A6EE0">
              <w:rPr>
                <w:rFonts w:ascii="MS Reference Sans Serif" w:hAnsi="MS Reference Sans Serif"/>
                <w:bCs w:val="0"/>
                <w:color w:val="1F497D" w:themeColor="text2"/>
              </w:rPr>
              <w:t>semestral</w:t>
            </w:r>
            <w:r w:rsidRPr="002565DD">
              <w:rPr>
                <w:rFonts w:ascii="MS Reference Sans Serif" w:hAnsi="MS Reference Sans Serif"/>
                <w:bCs w:val="0"/>
                <w:color w:val="1F497D" w:themeColor="text2"/>
              </w:rPr>
              <w:t xml:space="preserve"> de las vi</w:t>
            </w:r>
            <w:r w:rsidR="006A6EE0">
              <w:rPr>
                <w:rFonts w:ascii="MS Reference Sans Serif" w:hAnsi="MS Reference Sans Serif"/>
                <w:bCs w:val="0"/>
                <w:color w:val="1F497D" w:themeColor="text2"/>
              </w:rPr>
              <w:t>olaciones del derecho a la vida</w:t>
            </w:r>
            <w:r w:rsidRPr="002565DD">
              <w:rPr>
                <w:rFonts w:ascii="MS Reference Sans Serif" w:hAnsi="MS Reference Sans Serif"/>
                <w:bCs w:val="0"/>
                <w:color w:val="1F497D" w:themeColor="text2"/>
              </w:rPr>
              <w:t xml:space="preserve"> y los mecanismos</w:t>
            </w:r>
            <w:r w:rsidR="00E37F58">
              <w:rPr>
                <w:rFonts w:ascii="MS Reference Sans Serif" w:hAnsi="MS Reference Sans Serif"/>
                <w:bCs w:val="0"/>
                <w:color w:val="1F497D" w:themeColor="text2"/>
              </w:rPr>
              <w:t xml:space="preserve"> de no repetición que se identifiquen</w:t>
            </w:r>
            <w:r w:rsidR="00A3660F">
              <w:rPr>
                <w:rFonts w:ascii="MS Reference Sans Serif" w:hAnsi="MS Reference Sans Serif"/>
                <w:bCs w:val="0"/>
                <w:color w:val="1F497D" w:themeColor="text2"/>
              </w:rPr>
              <w:t xml:space="preserve"> y que sean pertinentes con el tema de violencia colectiva</w:t>
            </w:r>
            <w:r w:rsidR="00E37F58">
              <w:rPr>
                <w:rFonts w:ascii="MS Reference Sans Serif" w:hAnsi="MS Reference Sans Serif"/>
                <w:bCs w:val="0"/>
                <w:color w:val="1F497D" w:themeColor="text2"/>
              </w:rPr>
              <w:t>.</w:t>
            </w:r>
          </w:p>
          <w:p w:rsidR="002565DD" w:rsidRPr="002565DD" w:rsidRDefault="00E37F58" w:rsidP="00E37F58">
            <w:pPr>
              <w:pStyle w:val="Default"/>
              <w:ind w:left="720" w:hanging="720"/>
              <w:jc w:val="both"/>
              <w:rPr>
                <w:rFonts w:ascii="MS Reference Sans Serif" w:hAnsi="MS Reference Sans Serif"/>
                <w:color w:val="1F497D" w:themeColor="text2"/>
              </w:rPr>
            </w:pPr>
            <w:r>
              <w:rPr>
                <w:rFonts w:ascii="MS Reference Sans Serif" w:hAnsi="MS Reference Sans Serif"/>
                <w:bCs w:val="0"/>
                <w:color w:val="1F497D" w:themeColor="text2"/>
              </w:rPr>
              <w:t xml:space="preserve">3.2.  </w:t>
            </w:r>
            <w:r w:rsidR="002565DD" w:rsidRPr="002565DD">
              <w:rPr>
                <w:rFonts w:ascii="MS Reference Sans Serif" w:hAnsi="MS Reference Sans Serif"/>
                <w:bCs w:val="0"/>
                <w:color w:val="1F497D" w:themeColor="text2"/>
              </w:rPr>
              <w:t xml:space="preserve">Fortalecer los conocimientos de las </w:t>
            </w:r>
            <w:r w:rsidR="00A3660F">
              <w:rPr>
                <w:rFonts w:ascii="MS Reference Sans Serif" w:hAnsi="MS Reference Sans Serif"/>
                <w:bCs w:val="0"/>
                <w:color w:val="1F497D" w:themeColor="text2"/>
              </w:rPr>
              <w:t>instituciones gubernamentales</w:t>
            </w:r>
            <w:r w:rsidR="002565DD" w:rsidRPr="002565DD">
              <w:rPr>
                <w:rFonts w:ascii="MS Reference Sans Serif" w:hAnsi="MS Reference Sans Serif"/>
                <w:bCs w:val="0"/>
                <w:color w:val="1F497D" w:themeColor="text2"/>
              </w:rPr>
              <w:t xml:space="preserve"> sobre los mecanismos de prevención y p</w:t>
            </w:r>
            <w:r w:rsidR="00A3660F">
              <w:rPr>
                <w:rFonts w:ascii="MS Reference Sans Serif" w:hAnsi="MS Reference Sans Serif"/>
                <w:bCs w:val="0"/>
                <w:color w:val="1F497D" w:themeColor="text2"/>
              </w:rPr>
              <w:t>rotección del derecho a la vida para el tema de violencia colectiva.</w:t>
            </w:r>
            <w:r w:rsidR="002565DD" w:rsidRPr="002565DD">
              <w:rPr>
                <w:rFonts w:ascii="MS Reference Sans Serif" w:hAnsi="MS Reference Sans Serif"/>
                <w:bCs w:val="0"/>
                <w:color w:val="1F497D" w:themeColor="text2"/>
              </w:rPr>
              <w:t xml:space="preserve"> </w:t>
            </w:r>
          </w:p>
          <w:p w:rsidR="009E41CB" w:rsidRPr="00A3660F" w:rsidRDefault="002565DD" w:rsidP="00A3660F">
            <w:pPr>
              <w:pStyle w:val="Default"/>
              <w:ind w:left="720" w:hanging="720"/>
              <w:jc w:val="both"/>
              <w:rPr>
                <w:rFonts w:ascii="MS Reference Sans Serif" w:hAnsi="MS Reference Sans Serif"/>
                <w:color w:val="1F497D" w:themeColor="text2"/>
              </w:rPr>
            </w:pPr>
            <w:r w:rsidRPr="002565DD">
              <w:rPr>
                <w:rFonts w:ascii="MS Reference Sans Serif" w:hAnsi="MS Reference Sans Serif"/>
                <w:bCs w:val="0"/>
                <w:color w:val="1F497D" w:themeColor="text2"/>
              </w:rPr>
              <w:t xml:space="preserve">3.3. </w:t>
            </w:r>
            <w:r w:rsidR="00A3660F">
              <w:rPr>
                <w:rFonts w:ascii="MS Reference Sans Serif" w:hAnsi="MS Reference Sans Serif"/>
                <w:bCs w:val="0"/>
                <w:color w:val="1F497D" w:themeColor="text2"/>
              </w:rPr>
              <w:t xml:space="preserve"> </w:t>
            </w:r>
            <w:r w:rsidRPr="002565DD">
              <w:rPr>
                <w:rFonts w:ascii="MS Reference Sans Serif" w:hAnsi="MS Reference Sans Serif"/>
                <w:bCs w:val="0"/>
                <w:color w:val="1F497D" w:themeColor="text2"/>
              </w:rPr>
              <w:t>Realizar un diplo</w:t>
            </w:r>
            <w:r w:rsidR="00A3660F">
              <w:rPr>
                <w:rFonts w:ascii="MS Reference Sans Serif" w:hAnsi="MS Reference Sans Serif"/>
                <w:bCs w:val="0"/>
                <w:color w:val="1F497D" w:themeColor="text2"/>
              </w:rPr>
              <w:t>mado sobre el derecho a la vida con énfasis en materia de violencia colectiva</w:t>
            </w:r>
            <w:r w:rsidRPr="002565DD">
              <w:rPr>
                <w:rFonts w:ascii="MS Reference Sans Serif" w:hAnsi="MS Reference Sans Serif"/>
                <w:bCs w:val="0"/>
                <w:color w:val="1F497D" w:themeColor="text2"/>
              </w:rPr>
              <w:t xml:space="preserve"> con el personal de </w:t>
            </w:r>
            <w:r w:rsidR="00A3660F">
              <w:rPr>
                <w:rFonts w:ascii="MS Reference Sans Serif" w:hAnsi="MS Reference Sans Serif"/>
                <w:bCs w:val="0"/>
                <w:color w:val="1F497D" w:themeColor="text2"/>
              </w:rPr>
              <w:t>las organizaciones gubernamentales, académicas y no gubernamentales para fortalecer los conocimientos y habilidades de actores clave.</w:t>
            </w:r>
          </w:p>
        </w:tc>
      </w:tr>
      <w:tr w:rsidR="009E41CB" w:rsidTr="00D06321">
        <w:trPr>
          <w:cnfStyle w:val="000000100000"/>
        </w:trPr>
        <w:tc>
          <w:tcPr>
            <w:cnfStyle w:val="001000000000"/>
            <w:tcW w:w="0" w:type="auto"/>
          </w:tcPr>
          <w:p w:rsidR="00D06321" w:rsidRPr="00D06321" w:rsidRDefault="00D06321" w:rsidP="00C5525A">
            <w:pPr>
              <w:pStyle w:val="Default"/>
              <w:ind w:left="720" w:hanging="720"/>
              <w:jc w:val="both"/>
              <w:rPr>
                <w:rFonts w:ascii="MS Reference Sans Serif" w:hAnsi="MS Reference Sans Serif"/>
                <w:color w:val="1F497D" w:themeColor="text2"/>
                <w:sz w:val="32"/>
                <w:szCs w:val="32"/>
              </w:rPr>
            </w:pPr>
            <w:r w:rsidRPr="00D06321">
              <w:rPr>
                <w:rFonts w:ascii="MS Reference Sans Serif" w:hAnsi="MS Reference Sans Serif"/>
                <w:bCs w:val="0"/>
                <w:color w:val="1F497D" w:themeColor="text2"/>
                <w:sz w:val="32"/>
                <w:szCs w:val="32"/>
              </w:rPr>
              <w:t>4.1</w:t>
            </w:r>
            <w:r w:rsidR="002A22B6">
              <w:rPr>
                <w:rFonts w:ascii="MS Reference Sans Serif" w:hAnsi="MS Reference Sans Serif"/>
                <w:bCs w:val="0"/>
                <w:color w:val="1F497D" w:themeColor="text2"/>
                <w:sz w:val="32"/>
                <w:szCs w:val="32"/>
              </w:rPr>
              <w:t>. Identificar</w:t>
            </w:r>
            <w:r w:rsidRPr="00D06321">
              <w:rPr>
                <w:rFonts w:ascii="MS Reference Sans Serif" w:hAnsi="MS Reference Sans Serif"/>
                <w:bCs w:val="0"/>
                <w:color w:val="1F497D" w:themeColor="text2"/>
                <w:sz w:val="32"/>
                <w:szCs w:val="32"/>
              </w:rPr>
              <w:t xml:space="preserve"> indicadores de alerta temprana que sirvan para la generación de un sistema de alerta temprana</w:t>
            </w:r>
            <w:r w:rsidR="002A22B6">
              <w:rPr>
                <w:rFonts w:ascii="MS Reference Sans Serif" w:hAnsi="MS Reference Sans Serif"/>
                <w:bCs w:val="0"/>
                <w:color w:val="1F497D" w:themeColor="text2"/>
                <w:sz w:val="32"/>
                <w:szCs w:val="32"/>
              </w:rPr>
              <w:t xml:space="preserve"> de violencia colectiva con actores e instituciones clave</w:t>
            </w:r>
            <w:r w:rsidRPr="00D06321">
              <w:rPr>
                <w:rFonts w:ascii="MS Reference Sans Serif" w:hAnsi="MS Reference Sans Serif"/>
                <w:bCs w:val="0"/>
                <w:color w:val="1F497D" w:themeColor="text2"/>
                <w:sz w:val="32"/>
                <w:szCs w:val="32"/>
              </w:rPr>
              <w:t xml:space="preserve">. </w:t>
            </w:r>
          </w:p>
          <w:p w:rsidR="00D06321" w:rsidRPr="00D06321" w:rsidRDefault="00D06321" w:rsidP="00C5525A">
            <w:pPr>
              <w:pStyle w:val="Default"/>
              <w:ind w:left="720" w:hanging="720"/>
              <w:jc w:val="both"/>
              <w:rPr>
                <w:rFonts w:ascii="MS Reference Sans Serif" w:hAnsi="MS Reference Sans Serif"/>
                <w:color w:val="1F497D" w:themeColor="text2"/>
              </w:rPr>
            </w:pPr>
            <w:r>
              <w:rPr>
                <w:rFonts w:ascii="MS Reference Sans Serif" w:hAnsi="MS Reference Sans Serif"/>
                <w:bCs w:val="0"/>
                <w:color w:val="1F497D" w:themeColor="text2"/>
              </w:rPr>
              <w:t>4.2</w:t>
            </w:r>
            <w:r w:rsidRPr="00D06321">
              <w:rPr>
                <w:rFonts w:ascii="MS Reference Sans Serif" w:hAnsi="MS Reference Sans Serif"/>
                <w:bCs w:val="0"/>
                <w:color w:val="1F497D" w:themeColor="text2"/>
              </w:rPr>
              <w:t xml:space="preserve">. </w:t>
            </w:r>
            <w:r w:rsidR="00C5525A">
              <w:rPr>
                <w:rFonts w:ascii="MS Reference Sans Serif" w:hAnsi="MS Reference Sans Serif"/>
                <w:bCs w:val="0"/>
                <w:color w:val="1F497D" w:themeColor="text2"/>
              </w:rPr>
              <w:t xml:space="preserve"> </w:t>
            </w:r>
            <w:r w:rsidR="00DC3508">
              <w:rPr>
                <w:rFonts w:ascii="MS Reference Sans Serif" w:hAnsi="MS Reference Sans Serif"/>
                <w:bCs w:val="0"/>
                <w:color w:val="1F497D" w:themeColor="text2"/>
              </w:rPr>
              <w:t xml:space="preserve">Elaborar una propuesta de </w:t>
            </w:r>
            <w:r w:rsidRPr="00D06321">
              <w:rPr>
                <w:rFonts w:ascii="MS Reference Sans Serif" w:hAnsi="MS Reference Sans Serif"/>
                <w:bCs w:val="0"/>
                <w:color w:val="1F497D" w:themeColor="text2"/>
              </w:rPr>
              <w:t>protocolo de respuesta a los distintos niveles de alarma que se prod</w:t>
            </w:r>
            <w:r w:rsidR="00DC3508">
              <w:rPr>
                <w:rFonts w:ascii="MS Reference Sans Serif" w:hAnsi="MS Reference Sans Serif"/>
                <w:bCs w:val="0"/>
                <w:color w:val="1F497D" w:themeColor="text2"/>
              </w:rPr>
              <w:t>uzcan con actores e instituciones clave.</w:t>
            </w:r>
          </w:p>
          <w:p w:rsidR="009E41CB" w:rsidRPr="00C5525A" w:rsidRDefault="00D06321" w:rsidP="00C5525A">
            <w:pPr>
              <w:pStyle w:val="Default"/>
              <w:ind w:left="720" w:hanging="720"/>
              <w:jc w:val="both"/>
              <w:rPr>
                <w:rFonts w:ascii="MS Reference Sans Serif" w:hAnsi="MS Reference Sans Serif"/>
                <w:color w:val="1F497D" w:themeColor="text2"/>
              </w:rPr>
            </w:pPr>
            <w:r>
              <w:rPr>
                <w:rFonts w:ascii="MS Reference Sans Serif" w:hAnsi="MS Reference Sans Serif"/>
                <w:bCs w:val="0"/>
                <w:color w:val="1F497D" w:themeColor="text2"/>
              </w:rPr>
              <w:t>4.3</w:t>
            </w:r>
            <w:r w:rsidRPr="00D06321">
              <w:rPr>
                <w:rFonts w:ascii="MS Reference Sans Serif" w:hAnsi="MS Reference Sans Serif"/>
                <w:bCs w:val="0"/>
                <w:color w:val="1F497D" w:themeColor="text2"/>
              </w:rPr>
              <w:t xml:space="preserve">. </w:t>
            </w:r>
            <w:r w:rsidR="00C5525A">
              <w:rPr>
                <w:rFonts w:ascii="MS Reference Sans Serif" w:hAnsi="MS Reference Sans Serif"/>
                <w:bCs w:val="0"/>
                <w:color w:val="1F497D" w:themeColor="text2"/>
              </w:rPr>
              <w:t xml:space="preserve"> </w:t>
            </w:r>
            <w:r w:rsidRPr="00D06321">
              <w:rPr>
                <w:rFonts w:ascii="MS Reference Sans Serif" w:hAnsi="MS Reference Sans Serif"/>
                <w:bCs w:val="0"/>
                <w:color w:val="1F497D" w:themeColor="text2"/>
              </w:rPr>
              <w:t>Elaborar un reporte del sistema de alerta temprana</w:t>
            </w:r>
            <w:r w:rsidR="00C5525A">
              <w:rPr>
                <w:rFonts w:ascii="MS Reference Sans Serif" w:hAnsi="MS Reference Sans Serif"/>
                <w:bCs w:val="0"/>
                <w:color w:val="1F497D" w:themeColor="text2"/>
              </w:rPr>
              <w:t xml:space="preserve"> de violencia colectiva</w:t>
            </w:r>
            <w:r w:rsidRPr="00D06321">
              <w:rPr>
                <w:rFonts w:ascii="MS Reference Sans Serif" w:hAnsi="MS Reference Sans Serif"/>
                <w:bCs w:val="0"/>
                <w:color w:val="1F497D" w:themeColor="text2"/>
              </w:rPr>
              <w:t xml:space="preserve">. </w:t>
            </w:r>
          </w:p>
          <w:p w:rsidR="00D06321" w:rsidRPr="00D06321" w:rsidRDefault="00C5525A" w:rsidP="008102AD">
            <w:pPr>
              <w:pStyle w:val="Default"/>
              <w:ind w:left="720" w:hanging="720"/>
              <w:jc w:val="both"/>
              <w:rPr>
                <w:rFonts w:ascii="MS Reference Sans Serif" w:hAnsi="MS Reference Sans Serif"/>
                <w:color w:val="1F497D" w:themeColor="text2"/>
              </w:rPr>
            </w:pPr>
            <w:r>
              <w:rPr>
                <w:rFonts w:ascii="MS Reference Sans Serif" w:hAnsi="MS Reference Sans Serif"/>
                <w:bCs w:val="0"/>
                <w:color w:val="1F497D" w:themeColor="text2"/>
              </w:rPr>
              <w:t xml:space="preserve">4.4.  </w:t>
            </w:r>
            <w:r w:rsidR="00D06321" w:rsidRPr="00D06321">
              <w:rPr>
                <w:rFonts w:ascii="MS Reference Sans Serif" w:hAnsi="MS Reference Sans Serif"/>
                <w:bCs w:val="0"/>
                <w:color w:val="1F497D" w:themeColor="text2"/>
              </w:rPr>
              <w:t xml:space="preserve">Clasificar </w:t>
            </w:r>
            <w:r w:rsidR="008102AD">
              <w:rPr>
                <w:rFonts w:ascii="MS Reference Sans Serif" w:hAnsi="MS Reference Sans Serif"/>
                <w:bCs w:val="0"/>
                <w:color w:val="1F497D" w:themeColor="text2"/>
              </w:rPr>
              <w:t>comunidades y regiones</w:t>
            </w:r>
            <w:r w:rsidR="00D06321" w:rsidRPr="00D06321">
              <w:rPr>
                <w:rFonts w:ascii="MS Reference Sans Serif" w:hAnsi="MS Reference Sans Serif"/>
                <w:bCs w:val="0"/>
                <w:color w:val="1F497D" w:themeColor="text2"/>
              </w:rPr>
              <w:t xml:space="preserve"> que hayan incurrido repetidamente en violaciones o potenciales violaciones al derecho a la </w:t>
            </w:r>
            <w:r w:rsidR="008102AD">
              <w:rPr>
                <w:rFonts w:ascii="MS Reference Sans Serif" w:hAnsi="MS Reference Sans Serif"/>
                <w:bCs w:val="0"/>
                <w:color w:val="1F497D" w:themeColor="text2"/>
              </w:rPr>
              <w:t>vida en materia de violencia colectiva</w:t>
            </w:r>
            <w:r w:rsidR="00D06321" w:rsidRPr="00D06321">
              <w:rPr>
                <w:rFonts w:ascii="MS Reference Sans Serif" w:hAnsi="MS Reference Sans Serif"/>
                <w:bCs w:val="0"/>
                <w:color w:val="1F497D" w:themeColor="text2"/>
              </w:rPr>
              <w:t xml:space="preserve">. </w:t>
            </w:r>
          </w:p>
        </w:tc>
      </w:tr>
      <w:tr w:rsidR="009E41CB" w:rsidTr="00D06321">
        <w:tc>
          <w:tcPr>
            <w:cnfStyle w:val="001000000000"/>
            <w:tcW w:w="0" w:type="auto"/>
          </w:tcPr>
          <w:p w:rsidR="00D06321" w:rsidRPr="00D06321" w:rsidRDefault="00840B82" w:rsidP="00DA3531">
            <w:pPr>
              <w:pStyle w:val="Default"/>
              <w:ind w:left="720" w:hanging="720"/>
              <w:jc w:val="both"/>
              <w:rPr>
                <w:rFonts w:ascii="MS Reference Sans Serif" w:hAnsi="MS Reference Sans Serif"/>
                <w:color w:val="1F497D" w:themeColor="text2"/>
              </w:rPr>
            </w:pPr>
            <w:r>
              <w:rPr>
                <w:rFonts w:ascii="MS Reference Sans Serif" w:hAnsi="MS Reference Sans Serif"/>
                <w:bCs w:val="0"/>
                <w:color w:val="1F497D" w:themeColor="text2"/>
              </w:rPr>
              <w:t>5</w:t>
            </w:r>
            <w:r w:rsidR="00D06321" w:rsidRPr="00D06321">
              <w:rPr>
                <w:rFonts w:ascii="MS Reference Sans Serif" w:hAnsi="MS Reference Sans Serif"/>
                <w:bCs w:val="0"/>
                <w:color w:val="1F497D" w:themeColor="text2"/>
              </w:rPr>
              <w:t xml:space="preserve">.1. Discutir y analizar los informes </w:t>
            </w:r>
            <w:r w:rsidR="00DA3531">
              <w:rPr>
                <w:rFonts w:ascii="MS Reference Sans Serif" w:hAnsi="MS Reference Sans Serif"/>
                <w:bCs w:val="0"/>
                <w:color w:val="1F497D" w:themeColor="text2"/>
              </w:rPr>
              <w:t>semestrales</w:t>
            </w:r>
            <w:r w:rsidR="00D06321" w:rsidRPr="00D06321">
              <w:rPr>
                <w:rFonts w:ascii="MS Reference Sans Serif" w:hAnsi="MS Reference Sans Serif"/>
                <w:bCs w:val="0"/>
                <w:color w:val="1F497D" w:themeColor="text2"/>
              </w:rPr>
              <w:t xml:space="preserve"> con las instancias y autoridades involucradas en la formulación e implementación de políticas y programas relac</w:t>
            </w:r>
            <w:r w:rsidR="00DA3531">
              <w:rPr>
                <w:rFonts w:ascii="MS Reference Sans Serif" w:hAnsi="MS Reference Sans Serif"/>
                <w:bCs w:val="0"/>
                <w:color w:val="1F497D" w:themeColor="text2"/>
              </w:rPr>
              <w:t>ionada con el derecho a la vida con énfasis en violencia colectiva</w:t>
            </w:r>
            <w:r w:rsidR="00D06321" w:rsidRPr="00D06321">
              <w:rPr>
                <w:rFonts w:ascii="MS Reference Sans Serif" w:hAnsi="MS Reference Sans Serif"/>
                <w:bCs w:val="0"/>
                <w:color w:val="1F497D" w:themeColor="text2"/>
              </w:rPr>
              <w:t xml:space="preserve">. </w:t>
            </w:r>
          </w:p>
          <w:p w:rsidR="00D06321" w:rsidRPr="00D06321" w:rsidRDefault="00DC3508" w:rsidP="0015280A">
            <w:pPr>
              <w:pStyle w:val="Default"/>
              <w:ind w:left="720" w:hanging="720"/>
              <w:jc w:val="both"/>
              <w:rPr>
                <w:rFonts w:ascii="MS Reference Sans Serif" w:hAnsi="MS Reference Sans Serif"/>
                <w:color w:val="1F497D" w:themeColor="text2"/>
              </w:rPr>
            </w:pPr>
            <w:r>
              <w:rPr>
                <w:rFonts w:ascii="MS Reference Sans Serif" w:hAnsi="MS Reference Sans Serif"/>
                <w:bCs w:val="0"/>
                <w:color w:val="1F497D" w:themeColor="text2"/>
              </w:rPr>
              <w:t>5</w:t>
            </w:r>
            <w:r w:rsidR="00D06321" w:rsidRPr="00D06321">
              <w:rPr>
                <w:rFonts w:ascii="MS Reference Sans Serif" w:hAnsi="MS Reference Sans Serif"/>
                <w:bCs w:val="0"/>
                <w:color w:val="1F497D" w:themeColor="text2"/>
              </w:rPr>
              <w:t xml:space="preserve">.2. </w:t>
            </w:r>
            <w:r w:rsidR="008D6486">
              <w:rPr>
                <w:rFonts w:ascii="MS Reference Sans Serif" w:hAnsi="MS Reference Sans Serif"/>
                <w:bCs w:val="0"/>
                <w:color w:val="1F497D" w:themeColor="text2"/>
              </w:rPr>
              <w:t xml:space="preserve"> </w:t>
            </w:r>
            <w:r w:rsidR="00D06321" w:rsidRPr="00D06321">
              <w:rPr>
                <w:rFonts w:ascii="MS Reference Sans Serif" w:hAnsi="MS Reference Sans Serif"/>
                <w:bCs w:val="0"/>
                <w:color w:val="1F497D" w:themeColor="text2"/>
              </w:rPr>
              <w:t xml:space="preserve">Identificar necesidades de cambio o elaboración de políticas públicas que fortalezcan el </w:t>
            </w:r>
            <w:r w:rsidR="008D6486">
              <w:rPr>
                <w:rFonts w:ascii="MS Reference Sans Serif" w:hAnsi="MS Reference Sans Serif"/>
                <w:bCs w:val="0"/>
                <w:color w:val="1F497D" w:themeColor="text2"/>
              </w:rPr>
              <w:t>ejercicio del derecho a la vida amenazada por la violencia colectiva</w:t>
            </w:r>
            <w:r w:rsidR="00D06321" w:rsidRPr="00D06321">
              <w:rPr>
                <w:rFonts w:ascii="MS Reference Sans Serif" w:hAnsi="MS Reference Sans Serif"/>
                <w:bCs w:val="0"/>
                <w:color w:val="1F497D" w:themeColor="text2"/>
              </w:rPr>
              <w:t xml:space="preserve">. </w:t>
            </w:r>
          </w:p>
          <w:p w:rsidR="009E41CB" w:rsidRPr="000C5748" w:rsidRDefault="00DC3508" w:rsidP="000C5748">
            <w:pPr>
              <w:pStyle w:val="Default"/>
              <w:ind w:left="720" w:hanging="720"/>
              <w:jc w:val="both"/>
              <w:rPr>
                <w:rFonts w:ascii="MS Reference Sans Serif" w:hAnsi="MS Reference Sans Serif"/>
                <w:color w:val="1F497D" w:themeColor="text2"/>
              </w:rPr>
            </w:pPr>
            <w:r>
              <w:rPr>
                <w:rFonts w:ascii="MS Reference Sans Serif" w:hAnsi="MS Reference Sans Serif"/>
                <w:bCs w:val="0"/>
                <w:color w:val="1F497D" w:themeColor="text2"/>
              </w:rPr>
              <w:t>5</w:t>
            </w:r>
            <w:r w:rsidR="008D6486">
              <w:rPr>
                <w:rFonts w:ascii="MS Reference Sans Serif" w:hAnsi="MS Reference Sans Serif"/>
                <w:bCs w:val="0"/>
                <w:color w:val="1F497D" w:themeColor="text2"/>
              </w:rPr>
              <w:t>.3</w:t>
            </w:r>
            <w:r w:rsidR="00D06321" w:rsidRPr="00D06321">
              <w:rPr>
                <w:rFonts w:ascii="MS Reference Sans Serif" w:hAnsi="MS Reference Sans Serif"/>
                <w:bCs w:val="0"/>
                <w:color w:val="1F497D" w:themeColor="text2"/>
              </w:rPr>
              <w:t xml:space="preserve">. </w:t>
            </w:r>
            <w:r w:rsidR="00374180">
              <w:rPr>
                <w:rFonts w:ascii="MS Reference Sans Serif" w:hAnsi="MS Reference Sans Serif"/>
                <w:bCs w:val="0"/>
                <w:color w:val="1F497D" w:themeColor="text2"/>
              </w:rPr>
              <w:t xml:space="preserve"> </w:t>
            </w:r>
            <w:r w:rsidR="00D06321" w:rsidRPr="00D06321">
              <w:rPr>
                <w:rFonts w:ascii="MS Reference Sans Serif" w:hAnsi="MS Reference Sans Serif"/>
                <w:bCs w:val="0"/>
                <w:color w:val="1F497D" w:themeColor="text2"/>
              </w:rPr>
              <w:t xml:space="preserve">Promover alianzas para el análisis, el monitoreo y evaluación de las políticas públicas relacionadas con el </w:t>
            </w:r>
            <w:r w:rsidR="00374180">
              <w:rPr>
                <w:rFonts w:ascii="MS Reference Sans Serif" w:hAnsi="MS Reference Sans Serif"/>
                <w:bCs w:val="0"/>
                <w:color w:val="1F497D" w:themeColor="text2"/>
              </w:rPr>
              <w:t>ejercicio del derecho a la vida con enfoque de prevención de violencia colectiva</w:t>
            </w:r>
            <w:r w:rsidR="00D06321" w:rsidRPr="00D06321">
              <w:rPr>
                <w:rFonts w:ascii="MS Reference Sans Serif" w:hAnsi="MS Reference Sans Serif"/>
                <w:bCs w:val="0"/>
                <w:color w:val="1F497D" w:themeColor="text2"/>
              </w:rPr>
              <w:t xml:space="preserve">. </w:t>
            </w:r>
          </w:p>
        </w:tc>
      </w:tr>
    </w:tbl>
    <w:p w:rsidR="009E41CB" w:rsidRPr="009E41CB" w:rsidRDefault="009E41CB" w:rsidP="009E41CB"/>
    <w:p w:rsidR="004D269A" w:rsidRPr="00194A75" w:rsidRDefault="006150E5" w:rsidP="006150E5">
      <w:pPr>
        <w:pStyle w:val="Ttulo1"/>
        <w:numPr>
          <w:ilvl w:val="0"/>
          <w:numId w:val="4"/>
        </w:numPr>
        <w:rPr>
          <w:color w:val="7F7F7F" w:themeColor="text1" w:themeTint="80"/>
        </w:rPr>
      </w:pPr>
      <w:bookmarkStart w:id="13" w:name="_Toc369732061"/>
      <w:r w:rsidRPr="00194A75">
        <w:rPr>
          <w:color w:val="7F7F7F" w:themeColor="text1" w:themeTint="80"/>
        </w:rPr>
        <w:lastRenderedPageBreak/>
        <w:t>Indicadores de alerta temprana</w:t>
      </w:r>
      <w:bookmarkEnd w:id="13"/>
    </w:p>
    <w:p w:rsidR="004D269A" w:rsidRDefault="008544C8" w:rsidP="001D26AD">
      <w:pPr>
        <w:spacing w:line="360" w:lineRule="auto"/>
        <w:jc w:val="both"/>
        <w:rPr>
          <w:rFonts w:ascii="MS Reference Sans Serif" w:hAnsi="MS Reference Sans Serif"/>
          <w:sz w:val="24"/>
          <w:szCs w:val="24"/>
        </w:rPr>
      </w:pPr>
      <w:r>
        <w:rPr>
          <w:rFonts w:ascii="MS Reference Sans Serif" w:hAnsi="MS Reference Sans Serif"/>
          <w:sz w:val="24"/>
          <w:szCs w:val="24"/>
        </w:rPr>
        <w:t>Los cinco indicadores de alerta temprana identificados para las instituciones encargadas de la seguridad y justicia en Guatemala como el MINGOB, MP e INACIF son:</w:t>
      </w:r>
    </w:p>
    <w:tbl>
      <w:tblPr>
        <w:tblStyle w:val="Sombreadoclaro-nfasis1"/>
        <w:tblW w:w="0" w:type="auto"/>
        <w:jc w:val="center"/>
        <w:tblLook w:val="04A0"/>
      </w:tblPr>
      <w:tblGrid>
        <w:gridCol w:w="4789"/>
        <w:gridCol w:w="4789"/>
      </w:tblGrid>
      <w:tr w:rsidR="001E03A7" w:rsidRPr="001E03A7" w:rsidTr="00F52143">
        <w:trPr>
          <w:cnfStyle w:val="100000000000"/>
          <w:jc w:val="center"/>
        </w:trPr>
        <w:tc>
          <w:tcPr>
            <w:cnfStyle w:val="001000000000"/>
            <w:tcW w:w="4789" w:type="dxa"/>
            <w:vAlign w:val="center"/>
          </w:tcPr>
          <w:p w:rsidR="001E03A7" w:rsidRPr="001E03A7" w:rsidRDefault="001E03A7" w:rsidP="00F52143">
            <w:pPr>
              <w:jc w:val="center"/>
              <w:rPr>
                <w:rFonts w:asciiTheme="minorHAnsi" w:hAnsiTheme="minorHAnsi"/>
                <w:sz w:val="24"/>
                <w:szCs w:val="24"/>
              </w:rPr>
            </w:pPr>
            <w:r w:rsidRPr="001E03A7">
              <w:rPr>
                <w:rFonts w:asciiTheme="minorHAnsi" w:hAnsiTheme="minorHAnsi"/>
                <w:sz w:val="24"/>
                <w:szCs w:val="24"/>
              </w:rPr>
              <w:t>Actividad</w:t>
            </w:r>
          </w:p>
        </w:tc>
        <w:tc>
          <w:tcPr>
            <w:tcW w:w="4789" w:type="dxa"/>
            <w:vAlign w:val="center"/>
          </w:tcPr>
          <w:p w:rsidR="001E03A7" w:rsidRPr="001E03A7" w:rsidRDefault="001E03A7" w:rsidP="00F52143">
            <w:pPr>
              <w:jc w:val="center"/>
              <w:cnfStyle w:val="100000000000"/>
              <w:rPr>
                <w:rFonts w:asciiTheme="minorHAnsi" w:hAnsiTheme="minorHAnsi"/>
                <w:sz w:val="24"/>
                <w:szCs w:val="24"/>
              </w:rPr>
            </w:pPr>
            <w:r w:rsidRPr="001E03A7">
              <w:rPr>
                <w:rFonts w:asciiTheme="minorHAnsi" w:hAnsiTheme="minorHAnsi"/>
                <w:sz w:val="24"/>
                <w:szCs w:val="24"/>
              </w:rPr>
              <w:t>Indicador</w:t>
            </w:r>
          </w:p>
        </w:tc>
      </w:tr>
      <w:tr w:rsidR="001E03A7" w:rsidRPr="001E03A7" w:rsidTr="00F52143">
        <w:trPr>
          <w:cnfStyle w:val="000000100000"/>
          <w:jc w:val="center"/>
        </w:trPr>
        <w:tc>
          <w:tcPr>
            <w:cnfStyle w:val="001000000000"/>
            <w:tcW w:w="4789" w:type="dxa"/>
            <w:vAlign w:val="center"/>
          </w:tcPr>
          <w:p w:rsidR="001E03A7" w:rsidRPr="001E03A7" w:rsidRDefault="001E03A7" w:rsidP="00F52143">
            <w:pPr>
              <w:jc w:val="center"/>
              <w:rPr>
                <w:rFonts w:asciiTheme="minorHAnsi" w:hAnsiTheme="minorHAnsi"/>
                <w:sz w:val="24"/>
                <w:szCs w:val="24"/>
              </w:rPr>
            </w:pPr>
            <w:r w:rsidRPr="001E03A7">
              <w:rPr>
                <w:rFonts w:asciiTheme="minorHAnsi" w:hAnsiTheme="minorHAnsi"/>
                <w:bCs w:val="0"/>
                <w:color w:val="1F497D" w:themeColor="text2"/>
                <w:sz w:val="24"/>
                <w:szCs w:val="24"/>
              </w:rPr>
              <w:t>Coordinar actividades comunitarias para ampliar los conocimientos de la población sobre el derecho a la vida orientadas a la prevención de la violencia colectiva.</w:t>
            </w:r>
          </w:p>
        </w:tc>
        <w:tc>
          <w:tcPr>
            <w:tcW w:w="4789" w:type="dxa"/>
            <w:vAlign w:val="center"/>
          </w:tcPr>
          <w:p w:rsidR="001E03A7" w:rsidRPr="00F52143" w:rsidRDefault="00D37869" w:rsidP="00F52143">
            <w:pPr>
              <w:jc w:val="center"/>
              <w:cnfStyle w:val="000000100000"/>
              <w:rPr>
                <w:rFonts w:asciiTheme="minorHAnsi" w:hAnsiTheme="minorHAnsi"/>
                <w:sz w:val="28"/>
                <w:szCs w:val="28"/>
              </w:rPr>
            </w:pPr>
            <w:r>
              <w:rPr>
                <w:rFonts w:asciiTheme="minorHAnsi" w:hAnsiTheme="minorHAnsi"/>
                <w:sz w:val="28"/>
                <w:szCs w:val="28"/>
              </w:rPr>
              <w:t>Número</w:t>
            </w:r>
            <w:r w:rsidR="00F52143" w:rsidRPr="00F52143">
              <w:rPr>
                <w:rFonts w:asciiTheme="minorHAnsi" w:hAnsiTheme="minorHAnsi"/>
                <w:sz w:val="28"/>
                <w:szCs w:val="28"/>
              </w:rPr>
              <w:t xml:space="preserve"> de actividades comunitarias para ampliar los conocimientos de la población sobre el derecho a la vida orientadas a la prevención de la violencia colectiva.</w:t>
            </w:r>
          </w:p>
        </w:tc>
      </w:tr>
      <w:tr w:rsidR="001E03A7" w:rsidRPr="001E03A7" w:rsidTr="00F52143">
        <w:trPr>
          <w:jc w:val="center"/>
        </w:trPr>
        <w:tc>
          <w:tcPr>
            <w:cnfStyle w:val="001000000000"/>
            <w:tcW w:w="4789" w:type="dxa"/>
            <w:vAlign w:val="center"/>
          </w:tcPr>
          <w:p w:rsidR="001E03A7" w:rsidRPr="001E03A7" w:rsidRDefault="001E03A7" w:rsidP="00F52143">
            <w:pPr>
              <w:jc w:val="center"/>
              <w:rPr>
                <w:rFonts w:asciiTheme="minorHAnsi" w:hAnsiTheme="minorHAnsi"/>
                <w:sz w:val="24"/>
                <w:szCs w:val="24"/>
              </w:rPr>
            </w:pPr>
            <w:r w:rsidRPr="001E03A7">
              <w:rPr>
                <w:rFonts w:asciiTheme="minorHAnsi" w:hAnsiTheme="minorHAnsi"/>
                <w:sz w:val="24"/>
                <w:szCs w:val="24"/>
              </w:rPr>
              <w:t>Identificar y clasificar los mecanismos de protección y prevención de violaciones o potenciales violaciones al ejercicio del derecho a la vida enfocada en la violencia colectiva.</w:t>
            </w:r>
          </w:p>
        </w:tc>
        <w:tc>
          <w:tcPr>
            <w:tcW w:w="4789" w:type="dxa"/>
            <w:vAlign w:val="center"/>
          </w:tcPr>
          <w:p w:rsidR="001E03A7" w:rsidRPr="00F52143" w:rsidRDefault="00D37869" w:rsidP="00F52143">
            <w:pPr>
              <w:jc w:val="center"/>
              <w:cnfStyle w:val="000000000000"/>
              <w:rPr>
                <w:rFonts w:asciiTheme="minorHAnsi" w:hAnsiTheme="minorHAnsi"/>
                <w:sz w:val="28"/>
                <w:szCs w:val="28"/>
              </w:rPr>
            </w:pPr>
            <w:r>
              <w:rPr>
                <w:rFonts w:asciiTheme="minorHAnsi" w:hAnsiTheme="minorHAnsi"/>
                <w:sz w:val="28"/>
                <w:szCs w:val="28"/>
              </w:rPr>
              <w:t>Número</w:t>
            </w:r>
            <w:r w:rsidR="00F52143" w:rsidRPr="00F52143">
              <w:rPr>
                <w:rFonts w:asciiTheme="minorHAnsi" w:hAnsiTheme="minorHAnsi"/>
                <w:sz w:val="28"/>
                <w:szCs w:val="28"/>
              </w:rPr>
              <w:t xml:space="preserve"> de mecanismos de protección y prevención </w:t>
            </w:r>
            <w:r>
              <w:rPr>
                <w:rFonts w:asciiTheme="minorHAnsi" w:hAnsiTheme="minorHAnsi"/>
                <w:sz w:val="28"/>
                <w:szCs w:val="28"/>
              </w:rPr>
              <w:t>d</w:t>
            </w:r>
            <w:r w:rsidR="00F52143" w:rsidRPr="00F52143">
              <w:rPr>
                <w:rFonts w:asciiTheme="minorHAnsi" w:hAnsiTheme="minorHAnsi"/>
                <w:sz w:val="28"/>
                <w:szCs w:val="28"/>
              </w:rPr>
              <w:t>e violaciones o potenciales violaciones al ejercicio del derecho a la vida enfocada en la violencia colectiva iden</w:t>
            </w:r>
            <w:r w:rsidR="00F52143">
              <w:rPr>
                <w:rFonts w:asciiTheme="minorHAnsi" w:hAnsiTheme="minorHAnsi"/>
                <w:sz w:val="28"/>
                <w:szCs w:val="28"/>
              </w:rPr>
              <w:t>ti</w:t>
            </w:r>
            <w:r w:rsidR="00F52143" w:rsidRPr="00F52143">
              <w:rPr>
                <w:rFonts w:asciiTheme="minorHAnsi" w:hAnsiTheme="minorHAnsi"/>
                <w:sz w:val="28"/>
                <w:szCs w:val="28"/>
              </w:rPr>
              <w:t>ficado.</w:t>
            </w:r>
          </w:p>
        </w:tc>
      </w:tr>
      <w:tr w:rsidR="001E03A7" w:rsidRPr="001E03A7" w:rsidTr="00F52143">
        <w:trPr>
          <w:cnfStyle w:val="000000100000"/>
          <w:jc w:val="center"/>
        </w:trPr>
        <w:tc>
          <w:tcPr>
            <w:cnfStyle w:val="001000000000"/>
            <w:tcW w:w="4789" w:type="dxa"/>
            <w:vAlign w:val="center"/>
          </w:tcPr>
          <w:p w:rsidR="001E03A7" w:rsidRPr="001E03A7" w:rsidRDefault="001E03A7" w:rsidP="00F52143">
            <w:pPr>
              <w:jc w:val="center"/>
              <w:rPr>
                <w:rFonts w:asciiTheme="minorHAnsi" w:hAnsiTheme="minorHAnsi"/>
                <w:sz w:val="24"/>
                <w:szCs w:val="24"/>
              </w:rPr>
            </w:pPr>
            <w:r w:rsidRPr="001E03A7">
              <w:rPr>
                <w:rFonts w:asciiTheme="minorHAnsi" w:hAnsiTheme="minorHAnsi"/>
                <w:sz w:val="24"/>
                <w:szCs w:val="24"/>
              </w:rPr>
              <w:t>Realizar un diplomado sobre el derecho a la vida con énfasis en materia de violencia colectiva con el personal de las organizaciones gubernamentales, académicas y no gubernamentales para fortalecer los conocimientos y habilidades de actores clave.</w:t>
            </w:r>
          </w:p>
        </w:tc>
        <w:tc>
          <w:tcPr>
            <w:tcW w:w="4789" w:type="dxa"/>
            <w:vAlign w:val="center"/>
          </w:tcPr>
          <w:p w:rsidR="001E03A7" w:rsidRPr="00D37869" w:rsidRDefault="00F52143" w:rsidP="00F52143">
            <w:pPr>
              <w:jc w:val="center"/>
              <w:cnfStyle w:val="000000100000"/>
              <w:rPr>
                <w:rFonts w:asciiTheme="minorHAnsi" w:hAnsiTheme="minorHAnsi"/>
                <w:sz w:val="28"/>
                <w:szCs w:val="28"/>
              </w:rPr>
            </w:pPr>
            <w:r w:rsidRPr="00D37869">
              <w:rPr>
                <w:rFonts w:asciiTheme="minorHAnsi" w:hAnsiTheme="minorHAnsi"/>
                <w:sz w:val="28"/>
                <w:szCs w:val="28"/>
              </w:rPr>
              <w:t>Número de estudiantes graduados del diplomado sobre el derecho a la vida con énfasis en materia de violencia colectiva.</w:t>
            </w:r>
          </w:p>
        </w:tc>
      </w:tr>
      <w:tr w:rsidR="001E03A7" w:rsidRPr="001E03A7" w:rsidTr="00F52143">
        <w:trPr>
          <w:jc w:val="center"/>
        </w:trPr>
        <w:tc>
          <w:tcPr>
            <w:cnfStyle w:val="001000000000"/>
            <w:tcW w:w="4789" w:type="dxa"/>
            <w:vAlign w:val="center"/>
          </w:tcPr>
          <w:p w:rsidR="001E03A7" w:rsidRPr="001E03A7" w:rsidRDefault="00F52143" w:rsidP="00F52143">
            <w:pPr>
              <w:jc w:val="center"/>
              <w:rPr>
                <w:rFonts w:asciiTheme="minorHAnsi" w:hAnsiTheme="minorHAnsi"/>
                <w:sz w:val="24"/>
                <w:szCs w:val="24"/>
              </w:rPr>
            </w:pPr>
            <w:r w:rsidRPr="00F52143">
              <w:rPr>
                <w:rFonts w:asciiTheme="minorHAnsi" w:hAnsiTheme="minorHAnsi"/>
                <w:sz w:val="24"/>
                <w:szCs w:val="24"/>
              </w:rPr>
              <w:t>Clasificar comunidades y regiones que hayan incurrido repetidamente en violaciones o potenciales violaciones al derecho a la vida en materia de violencia colectiva.</w:t>
            </w:r>
          </w:p>
        </w:tc>
        <w:tc>
          <w:tcPr>
            <w:tcW w:w="4789" w:type="dxa"/>
            <w:vAlign w:val="center"/>
          </w:tcPr>
          <w:p w:rsidR="001E03A7" w:rsidRPr="00D37869" w:rsidRDefault="00D37869" w:rsidP="00F52143">
            <w:pPr>
              <w:jc w:val="center"/>
              <w:cnfStyle w:val="000000000000"/>
              <w:rPr>
                <w:rFonts w:asciiTheme="minorHAnsi" w:hAnsiTheme="minorHAnsi"/>
                <w:sz w:val="28"/>
                <w:szCs w:val="28"/>
              </w:rPr>
            </w:pPr>
            <w:r w:rsidRPr="00D37869">
              <w:rPr>
                <w:rFonts w:asciiTheme="minorHAnsi" w:hAnsiTheme="minorHAnsi"/>
                <w:sz w:val="28"/>
                <w:szCs w:val="28"/>
              </w:rPr>
              <w:t>Número de comunidades y regiones identificadas que hayan incurrido repetidamente en violaciones o potenciales violaciones al derecho a la vida en materia de violencia colectiva.</w:t>
            </w:r>
          </w:p>
        </w:tc>
      </w:tr>
      <w:tr w:rsidR="007F4EA0" w:rsidRPr="001E03A7" w:rsidTr="00F52143">
        <w:trPr>
          <w:cnfStyle w:val="000000100000"/>
          <w:jc w:val="center"/>
        </w:trPr>
        <w:tc>
          <w:tcPr>
            <w:cnfStyle w:val="001000000000"/>
            <w:tcW w:w="4789" w:type="dxa"/>
            <w:vAlign w:val="center"/>
          </w:tcPr>
          <w:p w:rsidR="007F4EA0" w:rsidRPr="00F52143" w:rsidRDefault="00F52143" w:rsidP="00F52143">
            <w:pPr>
              <w:jc w:val="center"/>
              <w:rPr>
                <w:rFonts w:asciiTheme="minorHAnsi" w:hAnsiTheme="minorHAnsi"/>
                <w:sz w:val="24"/>
                <w:szCs w:val="24"/>
              </w:rPr>
            </w:pPr>
            <w:r w:rsidRPr="00F52143">
              <w:rPr>
                <w:rFonts w:asciiTheme="minorHAnsi" w:hAnsiTheme="minorHAnsi"/>
                <w:sz w:val="24"/>
                <w:szCs w:val="24"/>
              </w:rPr>
              <w:t>Discutir y analizar los informes semestrales con las instancias y autoridades involucradas en la formulación e implementación de políticas y programas relacionada con el derecho a la vida con énfasis en violencia colectiva.</w:t>
            </w:r>
          </w:p>
        </w:tc>
        <w:tc>
          <w:tcPr>
            <w:tcW w:w="4789" w:type="dxa"/>
            <w:vAlign w:val="center"/>
          </w:tcPr>
          <w:p w:rsidR="007F4EA0" w:rsidRPr="004333FC" w:rsidRDefault="004333FC" w:rsidP="00F52143">
            <w:pPr>
              <w:jc w:val="center"/>
              <w:cnfStyle w:val="000000100000"/>
              <w:rPr>
                <w:rFonts w:asciiTheme="minorHAnsi" w:hAnsiTheme="minorHAnsi"/>
                <w:sz w:val="28"/>
                <w:szCs w:val="28"/>
              </w:rPr>
            </w:pPr>
            <w:r w:rsidRPr="004333FC">
              <w:rPr>
                <w:rFonts w:asciiTheme="minorHAnsi" w:hAnsiTheme="minorHAnsi"/>
                <w:sz w:val="28"/>
                <w:szCs w:val="28"/>
              </w:rPr>
              <w:t xml:space="preserve">Número de reuniones </w:t>
            </w:r>
            <w:r w:rsidR="00C96D49" w:rsidRPr="004333FC">
              <w:rPr>
                <w:rFonts w:asciiTheme="minorHAnsi" w:hAnsiTheme="minorHAnsi"/>
                <w:sz w:val="28"/>
                <w:szCs w:val="28"/>
              </w:rPr>
              <w:t xml:space="preserve">con instancias </w:t>
            </w:r>
            <w:r w:rsidRPr="004333FC">
              <w:rPr>
                <w:rFonts w:asciiTheme="minorHAnsi" w:hAnsiTheme="minorHAnsi"/>
                <w:sz w:val="28"/>
                <w:szCs w:val="28"/>
              </w:rPr>
              <w:t>y autoridades involucradas en la formulación e implementación de políticas y programas relacionada con el derecho a la vida con énfasis en violencia colectiva.</w:t>
            </w:r>
          </w:p>
        </w:tc>
      </w:tr>
    </w:tbl>
    <w:p w:rsidR="00C96D49" w:rsidRDefault="00C96D49" w:rsidP="00C96D49">
      <w:pPr>
        <w:rPr>
          <w:rFonts w:ascii="MS Reference Sans Serif" w:hAnsi="MS Reference Sans Serif"/>
          <w:sz w:val="24"/>
          <w:szCs w:val="24"/>
        </w:rPr>
      </w:pPr>
    </w:p>
    <w:p w:rsidR="00C96D49" w:rsidRDefault="00C96D49">
      <w:pPr>
        <w:rPr>
          <w:rFonts w:ascii="MS Reference Sans Serif" w:hAnsi="MS Reference Sans Serif"/>
          <w:sz w:val="24"/>
          <w:szCs w:val="24"/>
        </w:rPr>
      </w:pPr>
      <w:r>
        <w:rPr>
          <w:rFonts w:ascii="MS Reference Sans Serif" w:hAnsi="MS Reference Sans Serif"/>
          <w:sz w:val="24"/>
          <w:szCs w:val="24"/>
        </w:rPr>
        <w:br w:type="page"/>
      </w:r>
    </w:p>
    <w:sdt>
      <w:sdtPr>
        <w:id w:val="322989"/>
        <w:docPartObj>
          <w:docPartGallery w:val="Bibliographies"/>
          <w:docPartUnique/>
        </w:docPartObj>
      </w:sdtPr>
      <w:sdtEndPr>
        <w:rPr>
          <w:rFonts w:ascii="MS Reference Sans Serif" w:eastAsiaTheme="minorHAnsi" w:hAnsi="MS Reference Sans Serif" w:cs="Arial"/>
          <w:b w:val="0"/>
          <w:bCs w:val="0"/>
          <w:color w:val="auto"/>
          <w:sz w:val="24"/>
          <w:szCs w:val="24"/>
        </w:rPr>
      </w:sdtEndPr>
      <w:sdtContent>
        <w:bookmarkStart w:id="14" w:name="_Toc369732062" w:displacedByCustomXml="prev"/>
        <w:p w:rsidR="00C96D49" w:rsidRDefault="00C96D49" w:rsidP="00C96D49">
          <w:pPr>
            <w:pStyle w:val="Ttulo1"/>
            <w:jc w:val="both"/>
          </w:pPr>
          <w:r>
            <w:t>Bibliografía</w:t>
          </w:r>
          <w:bookmarkEnd w:id="14"/>
        </w:p>
        <w:p w:rsidR="00600645" w:rsidRPr="000C7C9A" w:rsidRDefault="00600645" w:rsidP="00600645">
          <w:pPr>
            <w:rPr>
              <w:rFonts w:ascii="MS Reference Sans Serif" w:hAnsi="MS Reference Sans Serif"/>
            </w:rPr>
          </w:pPr>
        </w:p>
        <w:sdt>
          <w:sdtPr>
            <w:rPr>
              <w:rFonts w:ascii="MS Reference Sans Serif" w:hAnsi="MS Reference Sans Serif"/>
            </w:rPr>
            <w:id w:val="111145805"/>
            <w:bibliography/>
          </w:sdtPr>
          <w:sdtEndPr>
            <w:rPr>
              <w:sz w:val="24"/>
              <w:szCs w:val="24"/>
            </w:rPr>
          </w:sdtEndPr>
          <w:sdtContent>
            <w:p w:rsidR="000C7C9A" w:rsidRPr="000C7C9A" w:rsidRDefault="00C96D49" w:rsidP="000C7C9A">
              <w:pPr>
                <w:pStyle w:val="Bibliografa"/>
                <w:numPr>
                  <w:ilvl w:val="0"/>
                  <w:numId w:val="15"/>
                </w:numPr>
                <w:spacing w:line="360" w:lineRule="auto"/>
                <w:rPr>
                  <w:rFonts w:ascii="MS Reference Sans Serif" w:hAnsi="MS Reference Sans Serif"/>
                  <w:noProof/>
                  <w:sz w:val="24"/>
                  <w:szCs w:val="24"/>
                </w:rPr>
              </w:pPr>
              <w:r w:rsidRPr="000C7C9A">
                <w:rPr>
                  <w:rFonts w:ascii="MS Reference Sans Serif" w:hAnsi="MS Reference Sans Serif"/>
                  <w:sz w:val="24"/>
                  <w:szCs w:val="24"/>
                </w:rPr>
                <w:fldChar w:fldCharType="begin"/>
              </w:r>
              <w:r w:rsidRPr="000C7C9A">
                <w:rPr>
                  <w:rFonts w:ascii="MS Reference Sans Serif" w:hAnsi="MS Reference Sans Serif"/>
                  <w:sz w:val="24"/>
                  <w:szCs w:val="24"/>
                </w:rPr>
                <w:instrText xml:space="preserve"> BIBLIOGRAPHY </w:instrText>
              </w:r>
              <w:r w:rsidRPr="000C7C9A">
                <w:rPr>
                  <w:rFonts w:ascii="MS Reference Sans Serif" w:hAnsi="MS Reference Sans Serif"/>
                  <w:sz w:val="24"/>
                  <w:szCs w:val="24"/>
                </w:rPr>
                <w:fldChar w:fldCharType="separate"/>
              </w:r>
              <w:r w:rsidRPr="000C7C9A">
                <w:rPr>
                  <w:rFonts w:ascii="MS Reference Sans Serif" w:hAnsi="MS Reference Sans Serif"/>
                  <w:noProof/>
                  <w:sz w:val="24"/>
                  <w:szCs w:val="24"/>
                </w:rPr>
                <w:t xml:space="preserve">Berger, P., &amp; Luckmann, T. (1984). </w:t>
              </w:r>
              <w:r w:rsidRPr="000C7C9A">
                <w:rPr>
                  <w:rFonts w:ascii="MS Reference Sans Serif" w:hAnsi="MS Reference Sans Serif"/>
                  <w:i/>
                  <w:iCs/>
                  <w:noProof/>
                  <w:sz w:val="24"/>
                  <w:szCs w:val="24"/>
                </w:rPr>
                <w:t>La construcción social de la realidad.</w:t>
              </w:r>
              <w:r w:rsidRPr="000C7C9A">
                <w:rPr>
                  <w:rFonts w:ascii="MS Reference Sans Serif" w:hAnsi="MS Reference Sans Serif"/>
                  <w:noProof/>
                  <w:sz w:val="24"/>
                  <w:szCs w:val="24"/>
                </w:rPr>
                <w:t xml:space="preserve"> Buenos Aires: Amorrortu editores.</w:t>
              </w:r>
            </w:p>
            <w:p w:rsidR="000C7C9A" w:rsidRPr="000C7C9A" w:rsidRDefault="000C7C9A" w:rsidP="000C7C9A">
              <w:pPr>
                <w:pStyle w:val="Bibliografa"/>
                <w:numPr>
                  <w:ilvl w:val="0"/>
                  <w:numId w:val="15"/>
                </w:numPr>
                <w:spacing w:line="360" w:lineRule="auto"/>
                <w:rPr>
                  <w:rFonts w:ascii="MS Reference Sans Serif" w:hAnsi="MS Reference Sans Serif"/>
                  <w:noProof/>
                  <w:sz w:val="24"/>
                  <w:szCs w:val="24"/>
                </w:rPr>
              </w:pPr>
              <w:r w:rsidRPr="000C7C9A">
                <w:rPr>
                  <w:rFonts w:ascii="MS Reference Sans Serif" w:hAnsi="MS Reference Sans Serif"/>
                  <w:noProof/>
                  <w:sz w:val="24"/>
                  <w:szCs w:val="24"/>
                </w:rPr>
                <w:t xml:space="preserve">Chávez, C. L. (2002). </w:t>
              </w:r>
              <w:r w:rsidRPr="000C7C9A">
                <w:rPr>
                  <w:rFonts w:ascii="MS Reference Sans Serif" w:hAnsi="MS Reference Sans Serif"/>
                  <w:i/>
                  <w:iCs/>
                  <w:noProof/>
                  <w:sz w:val="24"/>
                  <w:szCs w:val="24"/>
                </w:rPr>
                <w:t>Concepciones de la seguridad ciudadana en el país</w:t>
              </w:r>
              <w:r w:rsidRPr="000C7C9A">
                <w:rPr>
                  <w:rFonts w:ascii="MS Reference Sans Serif" w:hAnsi="MS Reference Sans Serif"/>
                  <w:noProof/>
                  <w:sz w:val="24"/>
                  <w:szCs w:val="24"/>
                </w:rPr>
                <w:t xml:space="preserve"> (Primera Edición ed.). Guatemala, Guatemala: Dirección General de Investigación.</w:t>
              </w:r>
            </w:p>
            <w:p w:rsidR="000C7C9A" w:rsidRPr="000C7C9A" w:rsidRDefault="00C96D49" w:rsidP="000C7C9A">
              <w:pPr>
                <w:pStyle w:val="Bibliografa"/>
                <w:numPr>
                  <w:ilvl w:val="0"/>
                  <w:numId w:val="15"/>
                </w:numPr>
                <w:spacing w:line="360" w:lineRule="auto"/>
                <w:rPr>
                  <w:rFonts w:ascii="MS Reference Sans Serif" w:hAnsi="MS Reference Sans Serif"/>
                  <w:noProof/>
                  <w:sz w:val="24"/>
                  <w:szCs w:val="24"/>
                </w:rPr>
              </w:pPr>
              <w:r w:rsidRPr="000C7C9A">
                <w:rPr>
                  <w:rFonts w:ascii="MS Reference Sans Serif" w:hAnsi="MS Reference Sans Serif"/>
                  <w:noProof/>
                  <w:sz w:val="24"/>
                  <w:szCs w:val="24"/>
                </w:rPr>
                <w:t xml:space="preserve">García, J. L., &amp; Juárez, L. M. (2009). Hacia una deconstrucción del linchamiento como categoría estable. Nuevos contextos, nuevas aproximaciones y nuevas implicaciones para un análisis complejo. En J. L. García, L. M. Juárez, &amp; M. Camus, </w:t>
              </w:r>
              <w:r w:rsidRPr="000C7C9A">
                <w:rPr>
                  <w:rFonts w:ascii="MS Reference Sans Serif" w:hAnsi="MS Reference Sans Serif"/>
                  <w:i/>
                  <w:iCs/>
                  <w:noProof/>
                  <w:sz w:val="24"/>
                  <w:szCs w:val="24"/>
                </w:rPr>
                <w:t>Guatemala: violencias desbordadas</w:t>
              </w:r>
              <w:r w:rsidRPr="000C7C9A">
                <w:rPr>
                  <w:rFonts w:ascii="MS Reference Sans Serif" w:hAnsi="MS Reference Sans Serif"/>
                  <w:noProof/>
                  <w:sz w:val="24"/>
                  <w:szCs w:val="24"/>
                </w:rPr>
                <w:t xml:space="preserve"> (pág. 416). Córdova: Servicio Publicaciones de la Universidad de Córdova.</w:t>
              </w:r>
            </w:p>
            <w:p w:rsidR="000C7C9A" w:rsidRPr="000C7C9A" w:rsidRDefault="000C7C9A" w:rsidP="000C7C9A">
              <w:pPr>
                <w:pStyle w:val="Bibliografa"/>
                <w:numPr>
                  <w:ilvl w:val="0"/>
                  <w:numId w:val="15"/>
                </w:numPr>
                <w:spacing w:line="360" w:lineRule="auto"/>
                <w:rPr>
                  <w:rFonts w:ascii="MS Reference Sans Serif" w:hAnsi="MS Reference Sans Serif"/>
                  <w:noProof/>
                  <w:sz w:val="24"/>
                  <w:szCs w:val="24"/>
                </w:rPr>
              </w:pPr>
              <w:r w:rsidRPr="000C7C9A">
                <w:rPr>
                  <w:rFonts w:ascii="MS Reference Sans Serif" w:hAnsi="MS Reference Sans Serif"/>
                  <w:noProof/>
                  <w:sz w:val="24"/>
                  <w:szCs w:val="24"/>
                  <w:lang w:val="en-US"/>
                </w:rPr>
                <w:t xml:space="preserve">Hertmeyer, W., &amp; Hagan, J. (2003). </w:t>
              </w:r>
              <w:r w:rsidRPr="000C7C9A">
                <w:rPr>
                  <w:rFonts w:ascii="MS Reference Sans Serif" w:hAnsi="MS Reference Sans Serif"/>
                  <w:i/>
                  <w:iCs/>
                  <w:noProof/>
                  <w:sz w:val="24"/>
                  <w:szCs w:val="24"/>
                  <w:lang w:val="en-US"/>
                </w:rPr>
                <w:t>International Handbook of violence research.</w:t>
              </w:r>
              <w:r w:rsidRPr="000C7C9A">
                <w:rPr>
                  <w:rFonts w:ascii="MS Reference Sans Serif" w:hAnsi="MS Reference Sans Serif"/>
                  <w:noProof/>
                  <w:sz w:val="24"/>
                  <w:szCs w:val="24"/>
                  <w:lang w:val="en-US"/>
                </w:rPr>
                <w:t xml:space="preserve"> (S. Burckhard, Trad.) Países Bajos: Kluwer Academic Publishers.</w:t>
              </w:r>
            </w:p>
            <w:p w:rsidR="000C7C9A" w:rsidRPr="000C7C9A" w:rsidRDefault="00C96D49" w:rsidP="000C7C9A">
              <w:pPr>
                <w:pStyle w:val="Bibliografa"/>
                <w:numPr>
                  <w:ilvl w:val="0"/>
                  <w:numId w:val="15"/>
                </w:numPr>
                <w:spacing w:line="360" w:lineRule="auto"/>
                <w:rPr>
                  <w:rFonts w:ascii="MS Reference Sans Serif" w:hAnsi="MS Reference Sans Serif"/>
                  <w:noProof/>
                  <w:sz w:val="24"/>
                  <w:szCs w:val="24"/>
                </w:rPr>
              </w:pPr>
              <w:r w:rsidRPr="000C7C9A">
                <w:rPr>
                  <w:rFonts w:ascii="MS Reference Sans Serif" w:hAnsi="MS Reference Sans Serif"/>
                  <w:noProof/>
                  <w:sz w:val="24"/>
                  <w:szCs w:val="24"/>
                </w:rPr>
                <w:t xml:space="preserve">Mack, A. (2004). </w:t>
              </w:r>
              <w:r w:rsidRPr="000C7C9A">
                <w:rPr>
                  <w:rFonts w:ascii="MS Reference Sans Serif" w:hAnsi="MS Reference Sans Serif"/>
                  <w:i/>
                  <w:iCs/>
                  <w:noProof/>
                  <w:sz w:val="24"/>
                  <w:szCs w:val="24"/>
                </w:rPr>
                <w:t>El concepto de seguridad humana.</w:t>
              </w:r>
              <w:r w:rsidRPr="000C7C9A">
                <w:rPr>
                  <w:rFonts w:ascii="MS Reference Sans Serif" w:hAnsi="MS Reference Sans Serif"/>
                  <w:noProof/>
                  <w:sz w:val="24"/>
                  <w:szCs w:val="24"/>
                </w:rPr>
                <w:t xml:space="preserve"> Bonn: Papeles.</w:t>
              </w:r>
            </w:p>
            <w:p w:rsidR="000C7C9A" w:rsidRPr="000C7C9A" w:rsidRDefault="000C7C9A" w:rsidP="000C7C9A">
              <w:pPr>
                <w:pStyle w:val="Bibliografa"/>
                <w:numPr>
                  <w:ilvl w:val="0"/>
                  <w:numId w:val="15"/>
                </w:numPr>
                <w:spacing w:line="360" w:lineRule="auto"/>
                <w:rPr>
                  <w:rFonts w:ascii="MS Reference Sans Serif" w:hAnsi="MS Reference Sans Serif"/>
                  <w:noProof/>
                  <w:sz w:val="24"/>
                  <w:szCs w:val="24"/>
                </w:rPr>
              </w:pPr>
              <w:r w:rsidRPr="000C7C9A">
                <w:rPr>
                  <w:rFonts w:ascii="MS Reference Sans Serif" w:hAnsi="MS Reference Sans Serif"/>
                  <w:noProof/>
                  <w:sz w:val="24"/>
                  <w:szCs w:val="24"/>
                </w:rPr>
                <w:t xml:space="preserve">MINUGUA. (2002). </w:t>
              </w:r>
              <w:r w:rsidRPr="000C7C9A">
                <w:rPr>
                  <w:rFonts w:ascii="MS Reference Sans Serif" w:hAnsi="MS Reference Sans Serif"/>
                  <w:i/>
                  <w:iCs/>
                  <w:noProof/>
                  <w:sz w:val="24"/>
                  <w:szCs w:val="24"/>
                </w:rPr>
                <w:t>Los linchamientos: un flagelo que persiste.</w:t>
              </w:r>
              <w:r w:rsidRPr="000C7C9A">
                <w:rPr>
                  <w:rFonts w:ascii="MS Reference Sans Serif" w:hAnsi="MS Reference Sans Serif"/>
                  <w:noProof/>
                  <w:sz w:val="24"/>
                  <w:szCs w:val="24"/>
                </w:rPr>
                <w:t xml:space="preserve"> Misión de Verificación de las Naciones Unidas en Guatemala. Guatemala: MINUGUA.</w:t>
              </w:r>
            </w:p>
            <w:p w:rsidR="00C96D49" w:rsidRPr="000C7C9A" w:rsidRDefault="00C96D49" w:rsidP="004333FC">
              <w:pPr>
                <w:pStyle w:val="Bibliografa"/>
                <w:numPr>
                  <w:ilvl w:val="0"/>
                  <w:numId w:val="15"/>
                </w:numPr>
                <w:spacing w:line="360" w:lineRule="auto"/>
                <w:rPr>
                  <w:rFonts w:ascii="MS Reference Sans Serif" w:hAnsi="MS Reference Sans Serif"/>
                  <w:noProof/>
                  <w:sz w:val="24"/>
                  <w:szCs w:val="24"/>
                </w:rPr>
              </w:pPr>
              <w:r w:rsidRPr="000C7C9A">
                <w:rPr>
                  <w:rFonts w:ascii="MS Reference Sans Serif" w:hAnsi="MS Reference Sans Serif"/>
                  <w:noProof/>
                  <w:sz w:val="24"/>
                  <w:szCs w:val="24"/>
                </w:rPr>
                <w:t xml:space="preserve">Procurador de los derechos humanos. (2012). </w:t>
              </w:r>
              <w:r w:rsidRPr="000C7C9A">
                <w:rPr>
                  <w:rFonts w:ascii="MS Reference Sans Serif" w:hAnsi="MS Reference Sans Serif"/>
                  <w:i/>
                  <w:iCs/>
                  <w:noProof/>
                  <w:sz w:val="24"/>
                  <w:szCs w:val="24"/>
                </w:rPr>
                <w:t>Informe Anual Circunstanciado sobre la situación de los derechos humanos de Guatemala.</w:t>
              </w:r>
              <w:r w:rsidRPr="000C7C9A">
                <w:rPr>
                  <w:rFonts w:ascii="MS Reference Sans Serif" w:hAnsi="MS Reference Sans Serif"/>
                  <w:noProof/>
                  <w:sz w:val="24"/>
                  <w:szCs w:val="24"/>
                </w:rPr>
                <w:t xml:space="preserve"> Guatemala: Procurador de los derechos humanos.</w:t>
              </w:r>
            </w:p>
            <w:p w:rsidR="00C96D49" w:rsidRPr="000C7C9A" w:rsidRDefault="00C96D49" w:rsidP="004333FC">
              <w:pPr>
                <w:pStyle w:val="Bibliografa"/>
                <w:numPr>
                  <w:ilvl w:val="0"/>
                  <w:numId w:val="15"/>
                </w:numPr>
                <w:spacing w:line="360" w:lineRule="auto"/>
                <w:rPr>
                  <w:rFonts w:ascii="MS Reference Sans Serif" w:hAnsi="MS Reference Sans Serif"/>
                  <w:noProof/>
                  <w:sz w:val="24"/>
                  <w:szCs w:val="24"/>
                </w:rPr>
              </w:pPr>
              <w:r w:rsidRPr="000C7C9A">
                <w:rPr>
                  <w:rFonts w:ascii="MS Reference Sans Serif" w:hAnsi="MS Reference Sans Serif"/>
                  <w:noProof/>
                  <w:sz w:val="24"/>
                  <w:szCs w:val="24"/>
                </w:rPr>
                <w:t xml:space="preserve">Roche, R. S. (1996). Collective Violence as Social Control. </w:t>
              </w:r>
              <w:r w:rsidRPr="000C7C9A">
                <w:rPr>
                  <w:rFonts w:ascii="MS Reference Sans Serif" w:hAnsi="MS Reference Sans Serif"/>
                  <w:i/>
                  <w:iCs/>
                  <w:noProof/>
                  <w:sz w:val="24"/>
                  <w:szCs w:val="24"/>
                </w:rPr>
                <w:t>Sociological Forum</w:t>
              </w:r>
              <w:r w:rsidRPr="000C7C9A">
                <w:rPr>
                  <w:rFonts w:ascii="MS Reference Sans Serif" w:hAnsi="MS Reference Sans Serif"/>
                  <w:noProof/>
                  <w:sz w:val="24"/>
                  <w:szCs w:val="24"/>
                </w:rPr>
                <w:t xml:space="preserve"> </w:t>
              </w:r>
              <w:r w:rsidRPr="000C7C9A">
                <w:rPr>
                  <w:rFonts w:ascii="MS Reference Sans Serif" w:hAnsi="MS Reference Sans Serif"/>
                  <w:i/>
                  <w:iCs/>
                  <w:noProof/>
                  <w:sz w:val="24"/>
                  <w:szCs w:val="24"/>
                </w:rPr>
                <w:t>, 11</w:t>
              </w:r>
              <w:r w:rsidRPr="000C7C9A">
                <w:rPr>
                  <w:rFonts w:ascii="MS Reference Sans Serif" w:hAnsi="MS Reference Sans Serif"/>
                  <w:noProof/>
                  <w:sz w:val="24"/>
                  <w:szCs w:val="24"/>
                </w:rPr>
                <w:t xml:space="preserve"> (1), 33.</w:t>
              </w:r>
            </w:p>
            <w:p w:rsidR="000C7C9A" w:rsidRPr="000C7C9A" w:rsidRDefault="00C96D49" w:rsidP="000C7C9A">
              <w:pPr>
                <w:pStyle w:val="Bibliografa"/>
                <w:numPr>
                  <w:ilvl w:val="0"/>
                  <w:numId w:val="15"/>
                </w:numPr>
                <w:spacing w:line="360" w:lineRule="auto"/>
                <w:rPr>
                  <w:rFonts w:ascii="MS Reference Sans Serif" w:hAnsi="MS Reference Sans Serif"/>
                  <w:noProof/>
                  <w:sz w:val="24"/>
                  <w:szCs w:val="24"/>
                </w:rPr>
              </w:pPr>
              <w:r w:rsidRPr="000C7C9A">
                <w:rPr>
                  <w:rFonts w:ascii="MS Reference Sans Serif" w:hAnsi="MS Reference Sans Serif"/>
                  <w:noProof/>
                  <w:sz w:val="24"/>
                  <w:szCs w:val="24"/>
                </w:rPr>
                <w:t xml:space="preserve">Santillán, A. (2008). </w:t>
              </w:r>
              <w:r w:rsidRPr="000C7C9A">
                <w:rPr>
                  <w:rFonts w:ascii="MS Reference Sans Serif" w:hAnsi="MS Reference Sans Serif"/>
                  <w:i/>
                  <w:iCs/>
                  <w:noProof/>
                  <w:sz w:val="24"/>
                  <w:szCs w:val="24"/>
                </w:rPr>
                <w:t>Linchamientos urbanos. "Ajusticiamiento popular en tiempos de seguridad ciudadana".</w:t>
              </w:r>
              <w:r w:rsidRPr="000C7C9A">
                <w:rPr>
                  <w:rFonts w:ascii="MS Reference Sans Serif" w:hAnsi="MS Reference Sans Serif"/>
                  <w:noProof/>
                  <w:sz w:val="24"/>
                  <w:szCs w:val="24"/>
                </w:rPr>
                <w:t xml:space="preserve"> Revista de Ciencias Sociales. Ecuador: FLACSO.</w:t>
              </w:r>
            </w:p>
            <w:p w:rsidR="000C7C9A" w:rsidRPr="000C7C9A" w:rsidRDefault="000C7C9A" w:rsidP="000C7C9A">
              <w:pPr>
                <w:pStyle w:val="Bibliografa"/>
                <w:numPr>
                  <w:ilvl w:val="0"/>
                  <w:numId w:val="15"/>
                </w:numPr>
                <w:spacing w:line="360" w:lineRule="auto"/>
                <w:rPr>
                  <w:rFonts w:ascii="MS Reference Sans Serif" w:hAnsi="MS Reference Sans Serif"/>
                  <w:noProof/>
                  <w:sz w:val="24"/>
                  <w:szCs w:val="24"/>
                </w:rPr>
              </w:pPr>
              <w:r w:rsidRPr="000C7C9A">
                <w:rPr>
                  <w:rFonts w:ascii="MS Reference Sans Serif" w:hAnsi="MS Reference Sans Serif"/>
                  <w:noProof/>
                  <w:sz w:val="24"/>
                  <w:szCs w:val="24"/>
                </w:rPr>
                <w:lastRenderedPageBreak/>
                <w:t xml:space="preserve">Torres-Rivas, E. (2003). Linchar en Democracia. En C. Mendoza, &amp; E. Torres-Rivas, </w:t>
              </w:r>
              <w:r w:rsidRPr="000C7C9A">
                <w:rPr>
                  <w:rFonts w:ascii="MS Reference Sans Serif" w:hAnsi="MS Reference Sans Serif"/>
                  <w:i/>
                  <w:iCs/>
                  <w:noProof/>
                  <w:sz w:val="24"/>
                  <w:szCs w:val="24"/>
                </w:rPr>
                <w:t>Linchamientos: ¿barbarie o "justicia popular"?</w:t>
              </w:r>
              <w:r w:rsidRPr="000C7C9A">
                <w:rPr>
                  <w:rFonts w:ascii="MS Reference Sans Serif" w:hAnsi="MS Reference Sans Serif"/>
                  <w:noProof/>
                  <w:sz w:val="24"/>
                  <w:szCs w:val="24"/>
                </w:rPr>
                <w:t xml:space="preserve"> (Vol. N.1 Colección Cultura de Paz, pág. 332). Guatemala, Guatemala: FLACSO.</w:t>
              </w:r>
            </w:p>
            <w:p w:rsidR="000C7C9A" w:rsidRPr="000C7C9A" w:rsidRDefault="000C7C9A" w:rsidP="000C7C9A">
              <w:pPr>
                <w:pStyle w:val="Bibliografa"/>
                <w:numPr>
                  <w:ilvl w:val="0"/>
                  <w:numId w:val="15"/>
                </w:numPr>
                <w:spacing w:line="360" w:lineRule="auto"/>
                <w:rPr>
                  <w:rFonts w:ascii="MS Reference Sans Serif" w:hAnsi="MS Reference Sans Serif"/>
                  <w:noProof/>
                  <w:sz w:val="24"/>
                  <w:szCs w:val="24"/>
                </w:rPr>
              </w:pPr>
              <w:r w:rsidRPr="000C7C9A">
                <w:rPr>
                  <w:rFonts w:ascii="MS Reference Sans Serif" w:hAnsi="MS Reference Sans Serif"/>
                  <w:noProof/>
                  <w:sz w:val="24"/>
                  <w:szCs w:val="24"/>
                </w:rPr>
                <w:t xml:space="preserve">Vilas, C. (2003). (In)justicia por mano propia: linchamientos en el México Contemporáneo. En C. Mendoza, &amp; E. Torres-Rivas, </w:t>
              </w:r>
              <w:r w:rsidRPr="000C7C9A">
                <w:rPr>
                  <w:rFonts w:ascii="MS Reference Sans Serif" w:hAnsi="MS Reference Sans Serif"/>
                  <w:i/>
                  <w:iCs/>
                  <w:noProof/>
                  <w:sz w:val="24"/>
                  <w:szCs w:val="24"/>
                </w:rPr>
                <w:t>Linchamientos: ¿barbarie o "justicia popular"?</w:t>
              </w:r>
              <w:r w:rsidRPr="000C7C9A">
                <w:rPr>
                  <w:rFonts w:ascii="MS Reference Sans Serif" w:hAnsi="MS Reference Sans Serif"/>
                  <w:noProof/>
                  <w:sz w:val="24"/>
                  <w:szCs w:val="24"/>
                </w:rPr>
                <w:t xml:space="preserve"> (Vol. N.1 Colección Cultura de Paz, pág. 322). Guatemala, Guatemala: FLACSO.</w:t>
              </w:r>
            </w:p>
            <w:p w:rsidR="00C96D49" w:rsidRPr="000C7C9A" w:rsidRDefault="00C96D49" w:rsidP="004333FC">
              <w:pPr>
                <w:pStyle w:val="Bibliografa"/>
                <w:numPr>
                  <w:ilvl w:val="0"/>
                  <w:numId w:val="15"/>
                </w:numPr>
                <w:spacing w:line="360" w:lineRule="auto"/>
                <w:rPr>
                  <w:rFonts w:ascii="MS Reference Sans Serif" w:hAnsi="MS Reference Sans Serif"/>
                  <w:noProof/>
                  <w:sz w:val="24"/>
                  <w:szCs w:val="24"/>
                </w:rPr>
              </w:pPr>
              <w:r w:rsidRPr="000C7C9A">
                <w:rPr>
                  <w:rFonts w:ascii="MS Reference Sans Serif" w:hAnsi="MS Reference Sans Serif"/>
                  <w:noProof/>
                  <w:sz w:val="24"/>
                  <w:szCs w:val="24"/>
                  <w:lang w:val="en-US"/>
                </w:rPr>
                <w:t xml:space="preserve">World Bank . (2012). </w:t>
              </w:r>
              <w:r w:rsidRPr="000C7C9A">
                <w:rPr>
                  <w:rFonts w:ascii="MS Reference Sans Serif" w:hAnsi="MS Reference Sans Serif"/>
                  <w:i/>
                  <w:iCs/>
                  <w:noProof/>
                  <w:sz w:val="24"/>
                  <w:szCs w:val="24"/>
                  <w:lang w:val="en-US"/>
                </w:rPr>
                <w:t>The World Bank</w:t>
              </w:r>
              <w:r w:rsidRPr="000C7C9A">
                <w:rPr>
                  <w:rFonts w:ascii="MS Reference Sans Serif" w:hAnsi="MS Reference Sans Serif"/>
                  <w:noProof/>
                  <w:sz w:val="24"/>
                  <w:szCs w:val="24"/>
                  <w:lang w:val="en-US"/>
                </w:rPr>
                <w:t xml:space="preserve">. </w:t>
              </w:r>
              <w:r w:rsidRPr="000C7C9A">
                <w:rPr>
                  <w:rFonts w:ascii="MS Reference Sans Serif" w:hAnsi="MS Reference Sans Serif"/>
                  <w:noProof/>
                  <w:sz w:val="24"/>
                  <w:szCs w:val="24"/>
                </w:rPr>
                <w:t>Recuperado el 19 de septiembre de 2013, de The World Bank: http://data.worldbank.org/country/guatemala</w:t>
              </w:r>
            </w:p>
            <w:p w:rsidR="00C96D49" w:rsidRPr="00C96D49" w:rsidRDefault="00C96D49" w:rsidP="00C96D49">
              <w:pPr>
                <w:jc w:val="both"/>
                <w:rPr>
                  <w:rFonts w:ascii="MS Reference Sans Serif" w:hAnsi="MS Reference Sans Serif"/>
                  <w:sz w:val="24"/>
                  <w:szCs w:val="24"/>
                </w:rPr>
              </w:pPr>
              <w:r w:rsidRPr="000C7C9A">
                <w:rPr>
                  <w:rFonts w:ascii="MS Reference Sans Serif" w:hAnsi="MS Reference Sans Serif"/>
                  <w:sz w:val="24"/>
                  <w:szCs w:val="24"/>
                </w:rPr>
                <w:fldChar w:fldCharType="end"/>
              </w:r>
            </w:p>
          </w:sdtContent>
        </w:sdt>
      </w:sdtContent>
    </w:sdt>
    <w:p w:rsidR="00AB544B" w:rsidRPr="00B7637D" w:rsidRDefault="00AB544B" w:rsidP="00C96D49">
      <w:pPr>
        <w:rPr>
          <w:rFonts w:ascii="MS Reference Sans Serif" w:hAnsi="MS Reference Sans Serif"/>
          <w:sz w:val="24"/>
          <w:szCs w:val="24"/>
        </w:rPr>
      </w:pPr>
    </w:p>
    <w:sectPr w:rsidR="00AB544B" w:rsidRPr="00B7637D" w:rsidSect="00AC7358">
      <w:headerReference w:type="even" r:id="rId18"/>
      <w:headerReference w:type="default" r:id="rId19"/>
      <w:footerReference w:type="even" r:id="rId20"/>
      <w:footerReference w:type="default" r:id="rId21"/>
      <w:headerReference w:type="first" r:id="rId22"/>
      <w:footerReference w:type="first" r:id="rId23"/>
      <w:pgSz w:w="12242" w:h="15842" w:code="1"/>
      <w:pgMar w:top="1440" w:right="1440" w:bottom="1440" w:left="1440" w:header="706" w:footer="70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464D" w:rsidRDefault="00B2464D" w:rsidP="00990B16">
      <w:r>
        <w:separator/>
      </w:r>
    </w:p>
  </w:endnote>
  <w:endnote w:type="continuationSeparator" w:id="0">
    <w:p w:rsidR="00B2464D" w:rsidRDefault="00B2464D" w:rsidP="00990B1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altName w:val="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MS Reference Sans Serif">
    <w:altName w:val="MS Reference Sans Serif"/>
    <w:panose1 w:val="020B0604030504040204"/>
    <w:charset w:val="00"/>
    <w:family w:val="swiss"/>
    <w:pitch w:val="variable"/>
    <w:sig w:usb0="20000287" w:usb1="00000000" w:usb2="00000000" w:usb3="00000000" w:csb0="0000019F" w:csb1="00000000"/>
  </w:font>
  <w:font w:name="Cambria Math">
    <w:panose1 w:val="02040503050406030204"/>
    <w:charset w:val="00"/>
    <w:family w:val="roman"/>
    <w:pitch w:val="variable"/>
    <w:sig w:usb0="A00002EF" w:usb1="420020E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7C9A" w:rsidRDefault="000C7C9A">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7C9A" w:rsidRDefault="000C7C9A">
    <w:pPr>
      <w:pStyle w:val="Piedep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7C9A" w:rsidRDefault="000C7C9A">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464D" w:rsidRDefault="00B2464D" w:rsidP="00990B16">
      <w:r>
        <w:separator/>
      </w:r>
    </w:p>
  </w:footnote>
  <w:footnote w:type="continuationSeparator" w:id="0">
    <w:p w:rsidR="00B2464D" w:rsidRDefault="00B2464D" w:rsidP="00990B16">
      <w:r>
        <w:continuationSeparator/>
      </w:r>
    </w:p>
  </w:footnote>
  <w:footnote w:id="1">
    <w:p w:rsidR="000C7C9A" w:rsidRPr="002147C9" w:rsidRDefault="000C7C9A" w:rsidP="002147C9">
      <w:pPr>
        <w:jc w:val="both"/>
        <w:rPr>
          <w:rFonts w:ascii="MS Reference Sans Serif" w:hAnsi="MS Reference Sans Serif"/>
          <w:sz w:val="24"/>
          <w:szCs w:val="24"/>
        </w:rPr>
      </w:pPr>
      <w:r>
        <w:rPr>
          <w:rStyle w:val="Refdenotaalpie"/>
        </w:rPr>
        <w:footnoteRef/>
      </w:r>
      <w:r>
        <w:t xml:space="preserve"> </w:t>
      </w:r>
      <w:r w:rsidRPr="002147C9">
        <w:rPr>
          <w:rFonts w:asciiTheme="majorHAnsi" w:hAnsiTheme="majorHAnsi"/>
          <w:sz w:val="18"/>
          <w:szCs w:val="18"/>
        </w:rPr>
        <w:t>ARTICULO 391</w:t>
      </w:r>
      <w:r>
        <w:rPr>
          <w:rFonts w:asciiTheme="majorHAnsi" w:hAnsiTheme="majorHAnsi"/>
          <w:sz w:val="18"/>
          <w:szCs w:val="18"/>
        </w:rPr>
        <w:t xml:space="preserve"> del Código Penal</w:t>
      </w:r>
      <w:r w:rsidRPr="002147C9">
        <w:rPr>
          <w:rFonts w:asciiTheme="majorHAnsi" w:hAnsiTheme="majorHAnsi"/>
          <w:sz w:val="18"/>
          <w:szCs w:val="18"/>
        </w:rPr>
        <w:t xml:space="preserve">. Quien, con el propósito de atentar contra el orden constitucional o de alterar el orden público, ejecutare actos encaminados a provocar incendio o a causar estrago o desastres ferroviarios, marítimos, fluviales o aéreos, será sancionado con prisión de cinco a quince años. </w:t>
      </w:r>
    </w:p>
    <w:p w:rsidR="000C7C9A" w:rsidRPr="002147C9" w:rsidRDefault="000C7C9A" w:rsidP="002147C9">
      <w:pPr>
        <w:jc w:val="both"/>
        <w:rPr>
          <w:rFonts w:asciiTheme="majorHAnsi" w:hAnsiTheme="majorHAnsi"/>
          <w:sz w:val="18"/>
          <w:szCs w:val="18"/>
        </w:rPr>
      </w:pPr>
      <w:r w:rsidRPr="002147C9">
        <w:rPr>
          <w:rFonts w:asciiTheme="majorHAnsi" w:hAnsiTheme="majorHAnsi"/>
          <w:sz w:val="18"/>
          <w:szCs w:val="18"/>
        </w:rPr>
        <w:t xml:space="preserve"> Si se empleare materias explosivas de gran poder destructor para la comisión de este delito o, si a consecuencia del mismo resultare la muerte o lesiones graves de una o varias personas, el responsable será sancionado con prisión de diez a treinta años.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7C9A" w:rsidRDefault="000C7C9A">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7C9A" w:rsidRDefault="000C7C9A">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7C9A" w:rsidRDefault="000C7C9A">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A73BE"/>
    <w:multiLevelType w:val="hybridMultilevel"/>
    <w:tmpl w:val="1624C23A"/>
    <w:lvl w:ilvl="0" w:tplc="0C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1D655AD0"/>
    <w:multiLevelType w:val="multilevel"/>
    <w:tmpl w:val="5842680C"/>
    <w:lvl w:ilvl="0">
      <w:start w:val="1"/>
      <w:numFmt w:val="decimal"/>
      <w:lvlText w:val="%1."/>
      <w:lvlJc w:val="left"/>
      <w:pPr>
        <w:ind w:left="720" w:hanging="360"/>
      </w:pPr>
    </w:lvl>
    <w:lvl w:ilvl="1">
      <w:start w:val="3"/>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2">
    <w:nsid w:val="21BC73AD"/>
    <w:multiLevelType w:val="hybridMultilevel"/>
    <w:tmpl w:val="FFE0D3B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221771CD"/>
    <w:multiLevelType w:val="multilevel"/>
    <w:tmpl w:val="4E129A12"/>
    <w:lvl w:ilvl="0">
      <w:start w:val="2"/>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4">
    <w:nsid w:val="22DF784C"/>
    <w:multiLevelType w:val="multilevel"/>
    <w:tmpl w:val="E25EC864"/>
    <w:lvl w:ilvl="0">
      <w:start w:val="1"/>
      <w:numFmt w:val="decimal"/>
      <w:lvlText w:val="%1."/>
      <w:lvlJc w:val="left"/>
      <w:pPr>
        <w:ind w:left="720" w:hanging="360"/>
      </w:pPr>
    </w:lvl>
    <w:lvl w:ilvl="1">
      <w:start w:val="4"/>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5">
    <w:nsid w:val="26DC7A9A"/>
    <w:multiLevelType w:val="multilevel"/>
    <w:tmpl w:val="E25EC864"/>
    <w:lvl w:ilvl="0">
      <w:start w:val="1"/>
      <w:numFmt w:val="decimal"/>
      <w:lvlText w:val="%1."/>
      <w:lvlJc w:val="left"/>
      <w:pPr>
        <w:ind w:left="720" w:hanging="360"/>
      </w:pPr>
    </w:lvl>
    <w:lvl w:ilvl="1">
      <w:start w:val="4"/>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6">
    <w:nsid w:val="26E559A5"/>
    <w:multiLevelType w:val="hybridMultilevel"/>
    <w:tmpl w:val="FE0CDE5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41465D4C"/>
    <w:multiLevelType w:val="hybridMultilevel"/>
    <w:tmpl w:val="36FE3BE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41690CEF"/>
    <w:multiLevelType w:val="hybridMultilevel"/>
    <w:tmpl w:val="D822306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540229A1"/>
    <w:multiLevelType w:val="multilevel"/>
    <w:tmpl w:val="C600669E"/>
    <w:lvl w:ilvl="0">
      <w:start w:val="1"/>
      <w:numFmt w:val="decimal"/>
      <w:lvlText w:val="%1."/>
      <w:lvlJc w:val="left"/>
      <w:pPr>
        <w:ind w:left="720" w:hanging="360"/>
      </w:pPr>
      <w:rPr>
        <w:rFonts w:hint="default"/>
        <w:lang w:val="es-ES"/>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10">
    <w:nsid w:val="5DDC09DE"/>
    <w:multiLevelType w:val="hybridMultilevel"/>
    <w:tmpl w:val="8D76735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64DA50FC"/>
    <w:multiLevelType w:val="hybridMultilevel"/>
    <w:tmpl w:val="67660AE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6A0D43FF"/>
    <w:multiLevelType w:val="hybridMultilevel"/>
    <w:tmpl w:val="36D86034"/>
    <w:lvl w:ilvl="0" w:tplc="36304B2C">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71B57A3E"/>
    <w:multiLevelType w:val="hybridMultilevel"/>
    <w:tmpl w:val="45A091C2"/>
    <w:lvl w:ilvl="0" w:tplc="CF044A2E">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78D95D12"/>
    <w:multiLevelType w:val="multilevel"/>
    <w:tmpl w:val="74FA0C32"/>
    <w:lvl w:ilvl="0">
      <w:start w:val="1"/>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num w:numId="1">
    <w:abstractNumId w:val="13"/>
  </w:num>
  <w:num w:numId="2">
    <w:abstractNumId w:val="6"/>
  </w:num>
  <w:num w:numId="3">
    <w:abstractNumId w:val="11"/>
  </w:num>
  <w:num w:numId="4">
    <w:abstractNumId w:val="9"/>
  </w:num>
  <w:num w:numId="5">
    <w:abstractNumId w:val="7"/>
  </w:num>
  <w:num w:numId="6">
    <w:abstractNumId w:val="12"/>
  </w:num>
  <w:num w:numId="7">
    <w:abstractNumId w:val="14"/>
  </w:num>
  <w:num w:numId="8">
    <w:abstractNumId w:val="1"/>
  </w:num>
  <w:num w:numId="9">
    <w:abstractNumId w:val="3"/>
  </w:num>
  <w:num w:numId="10">
    <w:abstractNumId w:val="2"/>
  </w:num>
  <w:num w:numId="11">
    <w:abstractNumId w:val="0"/>
  </w:num>
  <w:num w:numId="12">
    <w:abstractNumId w:val="10"/>
  </w:num>
  <w:num w:numId="13">
    <w:abstractNumId w:val="4"/>
  </w:num>
  <w:num w:numId="14">
    <w:abstractNumId w:val="5"/>
  </w:num>
  <w:num w:numId="15">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6146"/>
  </w:hdrShapeDefaults>
  <w:footnotePr>
    <w:footnote w:id="-1"/>
    <w:footnote w:id="0"/>
  </w:footnotePr>
  <w:endnotePr>
    <w:endnote w:id="-1"/>
    <w:endnote w:id="0"/>
  </w:endnotePr>
  <w:compat/>
  <w:rsids>
    <w:rsidRoot w:val="00E2115B"/>
    <w:rsid w:val="00002494"/>
    <w:rsid w:val="000276B4"/>
    <w:rsid w:val="00031F7B"/>
    <w:rsid w:val="0005025E"/>
    <w:rsid w:val="000549DB"/>
    <w:rsid w:val="00056809"/>
    <w:rsid w:val="00075664"/>
    <w:rsid w:val="000759A1"/>
    <w:rsid w:val="00076F6B"/>
    <w:rsid w:val="000810FF"/>
    <w:rsid w:val="00086AA7"/>
    <w:rsid w:val="0009073B"/>
    <w:rsid w:val="000A470D"/>
    <w:rsid w:val="000B2890"/>
    <w:rsid w:val="000B42A4"/>
    <w:rsid w:val="000C2364"/>
    <w:rsid w:val="000C5748"/>
    <w:rsid w:val="000C7C9A"/>
    <w:rsid w:val="000D34F9"/>
    <w:rsid w:val="000F2551"/>
    <w:rsid w:val="00105C8E"/>
    <w:rsid w:val="00112F11"/>
    <w:rsid w:val="00140D2D"/>
    <w:rsid w:val="0015280A"/>
    <w:rsid w:val="0015460F"/>
    <w:rsid w:val="00191C07"/>
    <w:rsid w:val="00194A75"/>
    <w:rsid w:val="00197AB0"/>
    <w:rsid w:val="001B2987"/>
    <w:rsid w:val="001C22AA"/>
    <w:rsid w:val="001C28FD"/>
    <w:rsid w:val="001D26AD"/>
    <w:rsid w:val="001E03A7"/>
    <w:rsid w:val="001E1156"/>
    <w:rsid w:val="001E41DA"/>
    <w:rsid w:val="001E7FB5"/>
    <w:rsid w:val="002147C9"/>
    <w:rsid w:val="00246D57"/>
    <w:rsid w:val="002565DD"/>
    <w:rsid w:val="0027471D"/>
    <w:rsid w:val="002833CC"/>
    <w:rsid w:val="0029747C"/>
    <w:rsid w:val="00297C35"/>
    <w:rsid w:val="002A22B6"/>
    <w:rsid w:val="002B4A38"/>
    <w:rsid w:val="002D3EA3"/>
    <w:rsid w:val="002D474A"/>
    <w:rsid w:val="002E62FF"/>
    <w:rsid w:val="002F43EE"/>
    <w:rsid w:val="003022A6"/>
    <w:rsid w:val="003120DF"/>
    <w:rsid w:val="00351820"/>
    <w:rsid w:val="00351907"/>
    <w:rsid w:val="00352F9D"/>
    <w:rsid w:val="00366B5B"/>
    <w:rsid w:val="00367CD5"/>
    <w:rsid w:val="00374180"/>
    <w:rsid w:val="00375913"/>
    <w:rsid w:val="00377D0E"/>
    <w:rsid w:val="00381196"/>
    <w:rsid w:val="003855E5"/>
    <w:rsid w:val="003A520D"/>
    <w:rsid w:val="003C7E48"/>
    <w:rsid w:val="003F4CEF"/>
    <w:rsid w:val="0040281B"/>
    <w:rsid w:val="00404A25"/>
    <w:rsid w:val="00413AD1"/>
    <w:rsid w:val="004205AD"/>
    <w:rsid w:val="00425141"/>
    <w:rsid w:val="004333FC"/>
    <w:rsid w:val="004478D2"/>
    <w:rsid w:val="00462B9E"/>
    <w:rsid w:val="00465FB5"/>
    <w:rsid w:val="004A1DAD"/>
    <w:rsid w:val="004D000D"/>
    <w:rsid w:val="004D269A"/>
    <w:rsid w:val="004D3C86"/>
    <w:rsid w:val="004E33D2"/>
    <w:rsid w:val="004F5F2B"/>
    <w:rsid w:val="00523725"/>
    <w:rsid w:val="00526FC4"/>
    <w:rsid w:val="00545C8D"/>
    <w:rsid w:val="00574CBC"/>
    <w:rsid w:val="00580651"/>
    <w:rsid w:val="00592E61"/>
    <w:rsid w:val="005A5CB3"/>
    <w:rsid w:val="005B250D"/>
    <w:rsid w:val="005C4477"/>
    <w:rsid w:val="005C796F"/>
    <w:rsid w:val="005D7E1D"/>
    <w:rsid w:val="005F3413"/>
    <w:rsid w:val="00600645"/>
    <w:rsid w:val="00605367"/>
    <w:rsid w:val="00606EA6"/>
    <w:rsid w:val="006150E5"/>
    <w:rsid w:val="00637C85"/>
    <w:rsid w:val="0064356A"/>
    <w:rsid w:val="00680AF5"/>
    <w:rsid w:val="006A0CA9"/>
    <w:rsid w:val="006A6EE0"/>
    <w:rsid w:val="006B61ED"/>
    <w:rsid w:val="006E3062"/>
    <w:rsid w:val="006E4B01"/>
    <w:rsid w:val="006E5384"/>
    <w:rsid w:val="006E5AE7"/>
    <w:rsid w:val="006F4C36"/>
    <w:rsid w:val="00701405"/>
    <w:rsid w:val="00703CA7"/>
    <w:rsid w:val="00715FC3"/>
    <w:rsid w:val="0074786E"/>
    <w:rsid w:val="00756367"/>
    <w:rsid w:val="007708C6"/>
    <w:rsid w:val="007731F9"/>
    <w:rsid w:val="0077455E"/>
    <w:rsid w:val="007819C0"/>
    <w:rsid w:val="007961F8"/>
    <w:rsid w:val="007A19BF"/>
    <w:rsid w:val="007A4AA1"/>
    <w:rsid w:val="007B31B7"/>
    <w:rsid w:val="007D23A8"/>
    <w:rsid w:val="007D5D9F"/>
    <w:rsid w:val="007F4EA0"/>
    <w:rsid w:val="008102AD"/>
    <w:rsid w:val="00822C72"/>
    <w:rsid w:val="00826428"/>
    <w:rsid w:val="00830630"/>
    <w:rsid w:val="00840B82"/>
    <w:rsid w:val="008473C7"/>
    <w:rsid w:val="00850EB4"/>
    <w:rsid w:val="008544C8"/>
    <w:rsid w:val="00860D10"/>
    <w:rsid w:val="00884DEA"/>
    <w:rsid w:val="008870BF"/>
    <w:rsid w:val="008D6486"/>
    <w:rsid w:val="008D7957"/>
    <w:rsid w:val="00904390"/>
    <w:rsid w:val="00913DB8"/>
    <w:rsid w:val="009173F3"/>
    <w:rsid w:val="00926DCD"/>
    <w:rsid w:val="00952AAF"/>
    <w:rsid w:val="00990B16"/>
    <w:rsid w:val="009A2E1A"/>
    <w:rsid w:val="009B7304"/>
    <w:rsid w:val="009C59BD"/>
    <w:rsid w:val="009E41CB"/>
    <w:rsid w:val="009E5D5D"/>
    <w:rsid w:val="009F7AD6"/>
    <w:rsid w:val="00A03964"/>
    <w:rsid w:val="00A04DFD"/>
    <w:rsid w:val="00A157FE"/>
    <w:rsid w:val="00A31698"/>
    <w:rsid w:val="00A3660F"/>
    <w:rsid w:val="00A36829"/>
    <w:rsid w:val="00A45444"/>
    <w:rsid w:val="00A730BF"/>
    <w:rsid w:val="00A8276E"/>
    <w:rsid w:val="00A83771"/>
    <w:rsid w:val="00A95F99"/>
    <w:rsid w:val="00AA00F4"/>
    <w:rsid w:val="00AA03BA"/>
    <w:rsid w:val="00AA392B"/>
    <w:rsid w:val="00AA729D"/>
    <w:rsid w:val="00AB544B"/>
    <w:rsid w:val="00AC3793"/>
    <w:rsid w:val="00AC7358"/>
    <w:rsid w:val="00AD4B92"/>
    <w:rsid w:val="00AF18F9"/>
    <w:rsid w:val="00B1295F"/>
    <w:rsid w:val="00B21EF7"/>
    <w:rsid w:val="00B2464D"/>
    <w:rsid w:val="00B46491"/>
    <w:rsid w:val="00B51664"/>
    <w:rsid w:val="00B5193B"/>
    <w:rsid w:val="00B603CB"/>
    <w:rsid w:val="00B63595"/>
    <w:rsid w:val="00B7637D"/>
    <w:rsid w:val="00B85EF2"/>
    <w:rsid w:val="00B919BD"/>
    <w:rsid w:val="00BB3A36"/>
    <w:rsid w:val="00BC4001"/>
    <w:rsid w:val="00BE1DDD"/>
    <w:rsid w:val="00C11BED"/>
    <w:rsid w:val="00C12F54"/>
    <w:rsid w:val="00C16ECD"/>
    <w:rsid w:val="00C54695"/>
    <w:rsid w:val="00C5525A"/>
    <w:rsid w:val="00C6074D"/>
    <w:rsid w:val="00C6179B"/>
    <w:rsid w:val="00C672A2"/>
    <w:rsid w:val="00C775A0"/>
    <w:rsid w:val="00C77B3D"/>
    <w:rsid w:val="00C82BA0"/>
    <w:rsid w:val="00C87030"/>
    <w:rsid w:val="00C90ED2"/>
    <w:rsid w:val="00C96D49"/>
    <w:rsid w:val="00CC0377"/>
    <w:rsid w:val="00CE20EF"/>
    <w:rsid w:val="00CE4B7F"/>
    <w:rsid w:val="00CF0655"/>
    <w:rsid w:val="00CF1788"/>
    <w:rsid w:val="00CF3C07"/>
    <w:rsid w:val="00D06321"/>
    <w:rsid w:val="00D14F5C"/>
    <w:rsid w:val="00D158FD"/>
    <w:rsid w:val="00D21E52"/>
    <w:rsid w:val="00D313EE"/>
    <w:rsid w:val="00D37869"/>
    <w:rsid w:val="00D82CD9"/>
    <w:rsid w:val="00D852AA"/>
    <w:rsid w:val="00D90CD0"/>
    <w:rsid w:val="00DA3531"/>
    <w:rsid w:val="00DB15B5"/>
    <w:rsid w:val="00DC3508"/>
    <w:rsid w:val="00DC4B0E"/>
    <w:rsid w:val="00DF2FDD"/>
    <w:rsid w:val="00E2115B"/>
    <w:rsid w:val="00E25592"/>
    <w:rsid w:val="00E30427"/>
    <w:rsid w:val="00E312D1"/>
    <w:rsid w:val="00E37517"/>
    <w:rsid w:val="00E37F58"/>
    <w:rsid w:val="00E42723"/>
    <w:rsid w:val="00E44C98"/>
    <w:rsid w:val="00E973B7"/>
    <w:rsid w:val="00EA3417"/>
    <w:rsid w:val="00EC4804"/>
    <w:rsid w:val="00ED2343"/>
    <w:rsid w:val="00ED2721"/>
    <w:rsid w:val="00EE6EAB"/>
    <w:rsid w:val="00EE7B6F"/>
    <w:rsid w:val="00EF3C0B"/>
    <w:rsid w:val="00F00B5C"/>
    <w:rsid w:val="00F07924"/>
    <w:rsid w:val="00F07ECA"/>
    <w:rsid w:val="00F11730"/>
    <w:rsid w:val="00F2309D"/>
    <w:rsid w:val="00F40BB2"/>
    <w:rsid w:val="00F472AD"/>
    <w:rsid w:val="00F47DD5"/>
    <w:rsid w:val="00F52143"/>
    <w:rsid w:val="00F56C80"/>
    <w:rsid w:val="00F57438"/>
    <w:rsid w:val="00F71117"/>
    <w:rsid w:val="00F90C0A"/>
    <w:rsid w:val="00FD252A"/>
    <w:rsid w:val="00FE33E8"/>
    <w:rsid w:val="00FF0FB5"/>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rules v:ext="edit">
        <o:r id="V:Rule1" type="arc" idref="#_x0000_s1028"/>
        <o:r id="V:Rule3" type="arc" idref="#_x0000_s1029"/>
        <o:r id="V:Rule4" type="arc" idref="#_x0000_s1031"/>
        <o:r id="V:Rule5" type="arc" idref="#_x0000_s1026"/>
        <o:r id="V:Rule6"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22"/>
        <w:szCs w:val="22"/>
        <w:lang w:val="es-E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2CD9"/>
  </w:style>
  <w:style w:type="paragraph" w:styleId="Ttulo1">
    <w:name w:val="heading 1"/>
    <w:basedOn w:val="Normal"/>
    <w:next w:val="Normal"/>
    <w:link w:val="Ttulo1Car"/>
    <w:uiPriority w:val="9"/>
    <w:qFormat/>
    <w:rsid w:val="0074786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29747C"/>
    <w:rPr>
      <w:rFonts w:ascii="Tahoma" w:hAnsi="Tahoma" w:cs="Tahoma"/>
      <w:sz w:val="16"/>
      <w:szCs w:val="16"/>
    </w:rPr>
  </w:style>
  <w:style w:type="character" w:customStyle="1" w:styleId="TextodegloboCar">
    <w:name w:val="Texto de globo Car"/>
    <w:basedOn w:val="Fuentedeprrafopredeter"/>
    <w:link w:val="Textodeglobo"/>
    <w:uiPriority w:val="99"/>
    <w:semiHidden/>
    <w:rsid w:val="0029747C"/>
    <w:rPr>
      <w:rFonts w:ascii="Tahoma" w:hAnsi="Tahoma" w:cs="Tahoma"/>
      <w:sz w:val="16"/>
      <w:szCs w:val="16"/>
    </w:rPr>
  </w:style>
  <w:style w:type="character" w:customStyle="1" w:styleId="Ttulo1Car">
    <w:name w:val="Título 1 Car"/>
    <w:basedOn w:val="Fuentedeprrafopredeter"/>
    <w:link w:val="Ttulo1"/>
    <w:uiPriority w:val="9"/>
    <w:rsid w:val="0074786E"/>
    <w:rPr>
      <w:rFonts w:asciiTheme="majorHAnsi" w:eastAsiaTheme="majorEastAsia" w:hAnsiTheme="majorHAnsi" w:cstheme="majorBidi"/>
      <w:b/>
      <w:bCs/>
      <w:color w:val="365F91" w:themeColor="accent1" w:themeShade="BF"/>
      <w:sz w:val="28"/>
      <w:szCs w:val="28"/>
    </w:rPr>
  </w:style>
  <w:style w:type="paragraph" w:styleId="Prrafodelista">
    <w:name w:val="List Paragraph"/>
    <w:basedOn w:val="Normal"/>
    <w:uiPriority w:val="34"/>
    <w:qFormat/>
    <w:rsid w:val="00B51664"/>
    <w:pPr>
      <w:ind w:left="720"/>
      <w:contextualSpacing/>
    </w:pPr>
  </w:style>
  <w:style w:type="table" w:styleId="Tablaconcuadrcula">
    <w:name w:val="Table Grid"/>
    <w:basedOn w:val="Tablanormal"/>
    <w:uiPriority w:val="59"/>
    <w:rsid w:val="000024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ombreadoclaro-nfasis11">
    <w:name w:val="Sombreado claro - Énfasis 11"/>
    <w:basedOn w:val="Tablanormal"/>
    <w:uiPriority w:val="60"/>
    <w:rsid w:val="00002494"/>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Encabezado">
    <w:name w:val="header"/>
    <w:basedOn w:val="Normal"/>
    <w:link w:val="EncabezadoCar"/>
    <w:uiPriority w:val="99"/>
    <w:semiHidden/>
    <w:unhideWhenUsed/>
    <w:rsid w:val="00990B16"/>
    <w:pPr>
      <w:tabs>
        <w:tab w:val="center" w:pos="4513"/>
        <w:tab w:val="right" w:pos="9026"/>
      </w:tabs>
    </w:pPr>
  </w:style>
  <w:style w:type="character" w:customStyle="1" w:styleId="EncabezadoCar">
    <w:name w:val="Encabezado Car"/>
    <w:basedOn w:val="Fuentedeprrafopredeter"/>
    <w:link w:val="Encabezado"/>
    <w:uiPriority w:val="99"/>
    <w:semiHidden/>
    <w:rsid w:val="00990B16"/>
  </w:style>
  <w:style w:type="paragraph" w:styleId="Piedepgina">
    <w:name w:val="footer"/>
    <w:basedOn w:val="Normal"/>
    <w:link w:val="PiedepginaCar"/>
    <w:uiPriority w:val="99"/>
    <w:semiHidden/>
    <w:unhideWhenUsed/>
    <w:rsid w:val="00990B16"/>
    <w:pPr>
      <w:tabs>
        <w:tab w:val="center" w:pos="4513"/>
        <w:tab w:val="right" w:pos="9026"/>
      </w:tabs>
    </w:pPr>
  </w:style>
  <w:style w:type="character" w:customStyle="1" w:styleId="PiedepginaCar">
    <w:name w:val="Pie de página Car"/>
    <w:basedOn w:val="Fuentedeprrafopredeter"/>
    <w:link w:val="Piedepgina"/>
    <w:uiPriority w:val="99"/>
    <w:semiHidden/>
    <w:rsid w:val="00990B16"/>
  </w:style>
  <w:style w:type="paragraph" w:customStyle="1" w:styleId="Default">
    <w:name w:val="Default"/>
    <w:rsid w:val="000549DB"/>
    <w:pPr>
      <w:autoSpaceDE w:val="0"/>
      <w:autoSpaceDN w:val="0"/>
      <w:adjustRightInd w:val="0"/>
    </w:pPr>
    <w:rPr>
      <w:rFonts w:ascii="Calibri" w:hAnsi="Calibri" w:cs="Calibri"/>
      <w:color w:val="000000"/>
      <w:sz w:val="24"/>
      <w:szCs w:val="24"/>
    </w:rPr>
  </w:style>
  <w:style w:type="paragraph" w:styleId="Textonotapie">
    <w:name w:val="footnote text"/>
    <w:basedOn w:val="Normal"/>
    <w:link w:val="TextonotapieCar"/>
    <w:uiPriority w:val="99"/>
    <w:semiHidden/>
    <w:unhideWhenUsed/>
    <w:rsid w:val="002147C9"/>
    <w:rPr>
      <w:sz w:val="20"/>
      <w:szCs w:val="20"/>
    </w:rPr>
  </w:style>
  <w:style w:type="character" w:customStyle="1" w:styleId="TextonotapieCar">
    <w:name w:val="Texto nota pie Car"/>
    <w:basedOn w:val="Fuentedeprrafopredeter"/>
    <w:link w:val="Textonotapie"/>
    <w:uiPriority w:val="99"/>
    <w:semiHidden/>
    <w:rsid w:val="002147C9"/>
    <w:rPr>
      <w:sz w:val="20"/>
      <w:szCs w:val="20"/>
    </w:rPr>
  </w:style>
  <w:style w:type="character" w:styleId="Refdenotaalpie">
    <w:name w:val="footnote reference"/>
    <w:basedOn w:val="Fuentedeprrafopredeter"/>
    <w:uiPriority w:val="99"/>
    <w:semiHidden/>
    <w:unhideWhenUsed/>
    <w:rsid w:val="002147C9"/>
    <w:rPr>
      <w:vertAlign w:val="superscript"/>
    </w:rPr>
  </w:style>
  <w:style w:type="table" w:customStyle="1" w:styleId="Sombreadoclaro-nfasis1">
    <w:name w:val="Light Shading Accent 1"/>
    <w:basedOn w:val="Tablanormal"/>
    <w:uiPriority w:val="60"/>
    <w:rsid w:val="001E03A7"/>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Bibliografa">
    <w:name w:val="Bibliography"/>
    <w:basedOn w:val="Normal"/>
    <w:next w:val="Normal"/>
    <w:uiPriority w:val="37"/>
    <w:unhideWhenUsed/>
    <w:rsid w:val="00C96D49"/>
  </w:style>
  <w:style w:type="paragraph" w:styleId="TtulodeTDC">
    <w:name w:val="TOC Heading"/>
    <w:basedOn w:val="Ttulo1"/>
    <w:next w:val="Normal"/>
    <w:uiPriority w:val="39"/>
    <w:semiHidden/>
    <w:unhideWhenUsed/>
    <w:qFormat/>
    <w:rsid w:val="0009073B"/>
    <w:pPr>
      <w:spacing w:line="276" w:lineRule="auto"/>
      <w:outlineLvl w:val="9"/>
    </w:pPr>
  </w:style>
  <w:style w:type="paragraph" w:styleId="TDC1">
    <w:name w:val="toc 1"/>
    <w:basedOn w:val="Normal"/>
    <w:next w:val="Normal"/>
    <w:autoRedefine/>
    <w:uiPriority w:val="39"/>
    <w:unhideWhenUsed/>
    <w:rsid w:val="0009073B"/>
    <w:pPr>
      <w:spacing w:after="100"/>
    </w:pPr>
  </w:style>
  <w:style w:type="character" w:styleId="Hipervnculo">
    <w:name w:val="Hyperlink"/>
    <w:basedOn w:val="Fuentedeprrafopredeter"/>
    <w:uiPriority w:val="99"/>
    <w:unhideWhenUsed/>
    <w:rsid w:val="0009073B"/>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069573633">
      <w:bodyDiv w:val="1"/>
      <w:marLeft w:val="0"/>
      <w:marRight w:val="0"/>
      <w:marTop w:val="0"/>
      <w:marBottom w:val="0"/>
      <w:divBdr>
        <w:top w:val="none" w:sz="0" w:space="0" w:color="auto"/>
        <w:left w:val="none" w:sz="0" w:space="0" w:color="auto"/>
        <w:bottom w:val="none" w:sz="0" w:space="0" w:color="auto"/>
        <w:right w:val="none" w:sz="0" w:space="0" w:color="auto"/>
      </w:divBdr>
      <w:divsChild>
        <w:div w:id="102769295">
          <w:marLeft w:val="0"/>
          <w:marRight w:val="0"/>
          <w:marTop w:val="0"/>
          <w:marBottom w:val="0"/>
          <w:divBdr>
            <w:top w:val="none" w:sz="0" w:space="0" w:color="auto"/>
            <w:left w:val="none" w:sz="0" w:space="0" w:color="auto"/>
            <w:bottom w:val="none" w:sz="0" w:space="0" w:color="auto"/>
            <w:right w:val="none" w:sz="0" w:space="0" w:color="auto"/>
          </w:divBdr>
        </w:div>
        <w:div w:id="1440679028">
          <w:marLeft w:val="0"/>
          <w:marRight w:val="0"/>
          <w:marTop w:val="0"/>
          <w:marBottom w:val="0"/>
          <w:divBdr>
            <w:top w:val="none" w:sz="0" w:space="0" w:color="auto"/>
            <w:left w:val="none" w:sz="0" w:space="0" w:color="auto"/>
            <w:bottom w:val="none" w:sz="0" w:space="0" w:color="auto"/>
            <w:right w:val="none" w:sz="0" w:space="0" w:color="auto"/>
          </w:divBdr>
        </w:div>
        <w:div w:id="17289903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diagramData" Target="diagrams/data1.xm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chart" Target="charts/chart2.xml"/><Relationship Id="rId17" Type="http://schemas.microsoft.com/office/2007/relationships/diagramDrawing" Target="diagrams/drawing1.xm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diagramColors" Target="diagrams/colors1.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diagramQuickStyle" Target="diagrams/quickStyle1.xml"/><Relationship Id="rId23" Type="http://schemas.openxmlformats.org/officeDocument/2006/relationships/footer" Target="footer3.xml"/><Relationship Id="rId10" Type="http://schemas.openxmlformats.org/officeDocument/2006/relationships/image" Target="media/image3.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diagramLayout" Target="diagrams/layout1.xml"/><Relationship Id="rId22" Type="http://schemas.openxmlformats.org/officeDocument/2006/relationships/header" Target="header3.xml"/></Relationships>
</file>

<file path=word/charts/_rels/chart1.xml.rels><?xml version="1.0" encoding="UTF-8" standalone="yes"?>
<Relationships xmlns="http://schemas.openxmlformats.org/package/2006/relationships"><Relationship Id="rId1" Type="http://schemas.openxmlformats.org/officeDocument/2006/relationships/oleObject" Target="Libro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Libro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s-ES"/>
  <c:chart>
    <c:autoTitleDeleted val="1"/>
    <c:plotArea>
      <c:layout>
        <c:manualLayout>
          <c:layoutTarget val="inner"/>
          <c:xMode val="edge"/>
          <c:yMode val="edge"/>
          <c:x val="9.5435258092738465E-2"/>
          <c:y val="5.423592884222813E-2"/>
          <c:w val="0.87956474190726031"/>
          <c:h val="0.78540901137357944"/>
        </c:manualLayout>
      </c:layout>
      <c:barChart>
        <c:barDir val="col"/>
        <c:grouping val="clustered"/>
        <c:ser>
          <c:idx val="0"/>
          <c:order val="0"/>
          <c:tx>
            <c:strRef>
              <c:f>Hoja1!$A$3</c:f>
              <c:strCache>
                <c:ptCount val="1"/>
                <c:pt idx="0">
                  <c:v>Víctimas</c:v>
                </c:pt>
              </c:strCache>
            </c:strRef>
          </c:tx>
          <c:dLbls>
            <c:showVal val="1"/>
          </c:dLbls>
          <c:cat>
            <c:numRef>
              <c:f>Hoja1!$B$2:$F$2</c:f>
              <c:numCache>
                <c:formatCode>General</c:formatCode>
                <c:ptCount val="5"/>
                <c:pt idx="0">
                  <c:v>2008</c:v>
                </c:pt>
                <c:pt idx="1">
                  <c:v>2009</c:v>
                </c:pt>
                <c:pt idx="2">
                  <c:v>2010</c:v>
                </c:pt>
                <c:pt idx="3">
                  <c:v>2011</c:v>
                </c:pt>
                <c:pt idx="4">
                  <c:v>2012</c:v>
                </c:pt>
              </c:numCache>
            </c:numRef>
          </c:cat>
          <c:val>
            <c:numRef>
              <c:f>Hoja1!$B$3:$F$3</c:f>
              <c:numCache>
                <c:formatCode>General</c:formatCode>
                <c:ptCount val="5"/>
                <c:pt idx="0">
                  <c:v>17</c:v>
                </c:pt>
                <c:pt idx="1">
                  <c:v>49</c:v>
                </c:pt>
                <c:pt idx="2">
                  <c:v>33</c:v>
                </c:pt>
                <c:pt idx="3">
                  <c:v>44</c:v>
                </c:pt>
                <c:pt idx="4">
                  <c:v>13</c:v>
                </c:pt>
              </c:numCache>
            </c:numRef>
          </c:val>
        </c:ser>
        <c:axId val="133495040"/>
        <c:axId val="135304320"/>
      </c:barChart>
      <c:catAx>
        <c:axId val="133495040"/>
        <c:scaling>
          <c:orientation val="minMax"/>
        </c:scaling>
        <c:axPos val="b"/>
        <c:numFmt formatCode="General" sourceLinked="1"/>
        <c:tickLblPos val="nextTo"/>
        <c:crossAx val="135304320"/>
        <c:crosses val="autoZero"/>
        <c:auto val="1"/>
        <c:lblAlgn val="ctr"/>
        <c:lblOffset val="100"/>
      </c:catAx>
      <c:valAx>
        <c:axId val="135304320"/>
        <c:scaling>
          <c:orientation val="minMax"/>
        </c:scaling>
        <c:axPos val="l"/>
        <c:numFmt formatCode="General" sourceLinked="1"/>
        <c:tickLblPos val="nextTo"/>
        <c:crossAx val="133495040"/>
        <c:crosses val="autoZero"/>
        <c:crossBetween val="between"/>
      </c:valAx>
    </c:plotArea>
    <c:plotVisOnly val="1"/>
  </c:chart>
  <c:spPr>
    <a:ln>
      <a:noFill/>
    </a:ln>
  </c:spPr>
  <c:txPr>
    <a:bodyPr/>
    <a:lstStyle/>
    <a:p>
      <a:pPr>
        <a:defRPr sz="1100"/>
      </a:pPr>
      <a:endParaRPr lang="es-ES"/>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s-ES"/>
  <c:chart>
    <c:autoTitleDeleted val="1"/>
    <c:plotArea>
      <c:layout/>
      <c:barChart>
        <c:barDir val="col"/>
        <c:grouping val="clustered"/>
        <c:ser>
          <c:idx val="0"/>
          <c:order val="0"/>
          <c:tx>
            <c:strRef>
              <c:f>Hoja1!$A$23</c:f>
              <c:strCache>
                <c:ptCount val="1"/>
                <c:pt idx="0">
                  <c:v>Víctimas</c:v>
                </c:pt>
              </c:strCache>
            </c:strRef>
          </c:tx>
          <c:dLbls>
            <c:showVal val="1"/>
          </c:dLbls>
          <c:cat>
            <c:numRef>
              <c:f>Hoja1!$B$22:$F$22</c:f>
              <c:numCache>
                <c:formatCode>General</c:formatCode>
                <c:ptCount val="5"/>
                <c:pt idx="0">
                  <c:v>2008</c:v>
                </c:pt>
                <c:pt idx="1">
                  <c:v>2009</c:v>
                </c:pt>
                <c:pt idx="2">
                  <c:v>2010</c:v>
                </c:pt>
                <c:pt idx="3">
                  <c:v>2011</c:v>
                </c:pt>
                <c:pt idx="4">
                  <c:v>2012</c:v>
                </c:pt>
              </c:numCache>
            </c:numRef>
          </c:cat>
          <c:val>
            <c:numRef>
              <c:f>Hoja1!$B$23:$F$23</c:f>
              <c:numCache>
                <c:formatCode>General</c:formatCode>
                <c:ptCount val="5"/>
                <c:pt idx="0">
                  <c:v>22</c:v>
                </c:pt>
                <c:pt idx="1">
                  <c:v>56</c:v>
                </c:pt>
                <c:pt idx="2">
                  <c:v>36</c:v>
                </c:pt>
                <c:pt idx="3">
                  <c:v>21</c:v>
                </c:pt>
                <c:pt idx="4">
                  <c:v>31</c:v>
                </c:pt>
              </c:numCache>
            </c:numRef>
          </c:val>
        </c:ser>
        <c:axId val="164673024"/>
        <c:axId val="175247744"/>
      </c:barChart>
      <c:catAx>
        <c:axId val="164673024"/>
        <c:scaling>
          <c:orientation val="minMax"/>
        </c:scaling>
        <c:axPos val="b"/>
        <c:numFmt formatCode="General" sourceLinked="1"/>
        <c:tickLblPos val="nextTo"/>
        <c:crossAx val="175247744"/>
        <c:crosses val="autoZero"/>
        <c:auto val="1"/>
        <c:lblAlgn val="ctr"/>
        <c:lblOffset val="100"/>
      </c:catAx>
      <c:valAx>
        <c:axId val="175247744"/>
        <c:scaling>
          <c:orientation val="minMax"/>
        </c:scaling>
        <c:axPos val="l"/>
        <c:numFmt formatCode="General" sourceLinked="1"/>
        <c:tickLblPos val="nextTo"/>
        <c:crossAx val="164673024"/>
        <c:crosses val="autoZero"/>
        <c:crossBetween val="between"/>
      </c:valAx>
    </c:plotArea>
    <c:plotVisOnly val="1"/>
  </c:chart>
  <c:spPr>
    <a:ln>
      <a:noFill/>
    </a:ln>
  </c:spPr>
  <c:txPr>
    <a:bodyPr/>
    <a:lstStyle/>
    <a:p>
      <a:pPr>
        <a:defRPr sz="1100"/>
      </a:pPr>
      <a:endParaRPr lang="es-ES"/>
    </a:p>
  </c:txPr>
  <c:externalData r:id="rId1"/>
</c:chartSpace>
</file>

<file path=word/diagrams/colors1.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8EA4194-AC48-4297-98AD-FB7401CF8566}" type="doc">
      <dgm:prSet loTypeId="urn:microsoft.com/office/officeart/2005/8/layout/vList3" loCatId="list" qsTypeId="urn:microsoft.com/office/officeart/2005/8/quickstyle/simple1" qsCatId="simple" csTypeId="urn:microsoft.com/office/officeart/2005/8/colors/accent0_3" csCatId="mainScheme" phldr="1"/>
      <dgm:spPr/>
      <dgm:t>
        <a:bodyPr/>
        <a:lstStyle/>
        <a:p>
          <a:endParaRPr lang="es-ES"/>
        </a:p>
      </dgm:t>
    </dgm:pt>
    <dgm:pt modelId="{D07C2CA2-B8D4-4B30-A223-8333716A22A3}">
      <dgm:prSet phldrT="[Texto]"/>
      <dgm:spPr/>
      <dgm:t>
        <a:bodyPr/>
        <a:lstStyle/>
        <a:p>
          <a:r>
            <a:rPr lang="es-ES"/>
            <a:t>1. Promoción del ejercicio ciudadano y comunitario para la prevención de violencia colectiva</a:t>
          </a:r>
        </a:p>
      </dgm:t>
    </dgm:pt>
    <dgm:pt modelId="{A472A3D9-5FB4-4A1F-BFFF-44EF66B141CE}" type="parTrans" cxnId="{BB3EFF2C-8A08-4877-8EA3-B3B7F4C4730D}">
      <dgm:prSet/>
      <dgm:spPr/>
      <dgm:t>
        <a:bodyPr/>
        <a:lstStyle/>
        <a:p>
          <a:endParaRPr lang="es-ES"/>
        </a:p>
      </dgm:t>
    </dgm:pt>
    <dgm:pt modelId="{7CEBE871-77AF-4BD2-847D-7C483716BE65}" type="sibTrans" cxnId="{BB3EFF2C-8A08-4877-8EA3-B3B7F4C4730D}">
      <dgm:prSet/>
      <dgm:spPr/>
      <dgm:t>
        <a:bodyPr/>
        <a:lstStyle/>
        <a:p>
          <a:endParaRPr lang="es-ES"/>
        </a:p>
      </dgm:t>
    </dgm:pt>
    <dgm:pt modelId="{7CB2359B-0348-4650-A7C8-FE7459440C82}">
      <dgm:prSet phldrT="[Texto]"/>
      <dgm:spPr/>
      <dgm:t>
        <a:bodyPr/>
        <a:lstStyle/>
        <a:p>
          <a:r>
            <a:rPr lang="es-ES_tradnl"/>
            <a:t>2. Atención a las violaciones del derecho a la vida por causas de violencia colectiva</a:t>
          </a:r>
          <a:endParaRPr lang="es-ES"/>
        </a:p>
      </dgm:t>
    </dgm:pt>
    <dgm:pt modelId="{605483A4-6DE5-474C-91DD-FEA33AC1855C}" type="parTrans" cxnId="{1BB3E654-0A49-41A6-9BB4-5684679F63B6}">
      <dgm:prSet/>
      <dgm:spPr/>
      <dgm:t>
        <a:bodyPr/>
        <a:lstStyle/>
        <a:p>
          <a:endParaRPr lang="es-ES"/>
        </a:p>
      </dgm:t>
    </dgm:pt>
    <dgm:pt modelId="{3C2CEBA0-4A93-40BF-99BE-EC7645D3E7B0}" type="sibTrans" cxnId="{1BB3E654-0A49-41A6-9BB4-5684679F63B6}">
      <dgm:prSet/>
      <dgm:spPr/>
      <dgm:t>
        <a:bodyPr/>
        <a:lstStyle/>
        <a:p>
          <a:endParaRPr lang="es-ES"/>
        </a:p>
      </dgm:t>
    </dgm:pt>
    <dgm:pt modelId="{CDCF7E88-C6F9-4AC1-9203-4BF9DC7CEB22}">
      <dgm:prSet phldrT="[Texto]"/>
      <dgm:spPr/>
      <dgm:t>
        <a:bodyPr/>
        <a:lstStyle/>
        <a:p>
          <a:r>
            <a:rPr lang="es-ES_tradnl"/>
            <a:t>3. Alerta temprana para la prevención de las violaciones desde la violencia colectiva</a:t>
          </a:r>
          <a:endParaRPr lang="es-ES"/>
        </a:p>
      </dgm:t>
    </dgm:pt>
    <dgm:pt modelId="{2ABBD58F-22C7-4D4E-896D-6D66C7E604C2}" type="parTrans" cxnId="{5A8F6C21-3DA9-4257-AE01-DE6417AC098D}">
      <dgm:prSet/>
      <dgm:spPr/>
      <dgm:t>
        <a:bodyPr/>
        <a:lstStyle/>
        <a:p>
          <a:endParaRPr lang="es-ES"/>
        </a:p>
      </dgm:t>
    </dgm:pt>
    <dgm:pt modelId="{6B983CA1-AD98-452A-AE3D-BAEAF971A30D}" type="sibTrans" cxnId="{5A8F6C21-3DA9-4257-AE01-DE6417AC098D}">
      <dgm:prSet/>
      <dgm:spPr/>
      <dgm:t>
        <a:bodyPr/>
        <a:lstStyle/>
        <a:p>
          <a:endParaRPr lang="es-ES"/>
        </a:p>
      </dgm:t>
    </dgm:pt>
    <dgm:pt modelId="{E446F45E-3DCD-4726-9746-E0751BDB9BC5}">
      <dgm:prSet phldrT="[Texto]"/>
      <dgm:spPr/>
      <dgm:t>
        <a:bodyPr/>
        <a:lstStyle/>
        <a:p>
          <a:r>
            <a:rPr lang="es-ES_tradnl"/>
            <a:t>5. Monitoreo del ejercicio ciudadano comunitario para la prevención de violencia colectiva</a:t>
          </a:r>
          <a:endParaRPr lang="es-ES"/>
        </a:p>
      </dgm:t>
    </dgm:pt>
    <dgm:pt modelId="{C70847B6-3449-4345-97A2-4AA1E66751B9}" type="parTrans" cxnId="{A83BAC63-D31E-4188-B9AD-1E227567B800}">
      <dgm:prSet/>
      <dgm:spPr/>
      <dgm:t>
        <a:bodyPr/>
        <a:lstStyle/>
        <a:p>
          <a:endParaRPr lang="es-ES"/>
        </a:p>
      </dgm:t>
    </dgm:pt>
    <dgm:pt modelId="{2C132506-1486-4286-9890-92E96022AF8F}" type="sibTrans" cxnId="{A83BAC63-D31E-4188-B9AD-1E227567B800}">
      <dgm:prSet/>
      <dgm:spPr/>
      <dgm:t>
        <a:bodyPr/>
        <a:lstStyle/>
        <a:p>
          <a:endParaRPr lang="es-ES"/>
        </a:p>
      </dgm:t>
    </dgm:pt>
    <dgm:pt modelId="{6BF4134C-AF96-4810-83A7-71160323371D}">
      <dgm:prSet/>
      <dgm:spPr/>
      <dgm:t>
        <a:bodyPr/>
        <a:lstStyle/>
        <a:p>
          <a:r>
            <a:rPr lang="es-ES_tradnl"/>
            <a:t>4. Incidencia y formulación de políticas para la prevención de violencia colectiva</a:t>
          </a:r>
          <a:endParaRPr lang="es-ES"/>
        </a:p>
      </dgm:t>
    </dgm:pt>
    <dgm:pt modelId="{A92F8C7B-7BC3-4109-8C76-0034342B37F8}" type="parTrans" cxnId="{EF46E0FC-C74B-49D2-8F36-DAA298E7D71A}">
      <dgm:prSet/>
      <dgm:spPr/>
      <dgm:t>
        <a:bodyPr/>
        <a:lstStyle/>
        <a:p>
          <a:endParaRPr lang="es-ES"/>
        </a:p>
      </dgm:t>
    </dgm:pt>
    <dgm:pt modelId="{5501A619-0B9D-46ED-B452-D4036731175E}" type="sibTrans" cxnId="{EF46E0FC-C74B-49D2-8F36-DAA298E7D71A}">
      <dgm:prSet/>
      <dgm:spPr/>
      <dgm:t>
        <a:bodyPr/>
        <a:lstStyle/>
        <a:p>
          <a:endParaRPr lang="es-ES"/>
        </a:p>
      </dgm:t>
    </dgm:pt>
    <dgm:pt modelId="{B05F339D-ED1F-4381-8AF8-8CCB39F45011}" type="pres">
      <dgm:prSet presAssocID="{78EA4194-AC48-4297-98AD-FB7401CF8566}" presName="linearFlow" presStyleCnt="0">
        <dgm:presLayoutVars>
          <dgm:dir/>
          <dgm:resizeHandles val="exact"/>
        </dgm:presLayoutVars>
      </dgm:prSet>
      <dgm:spPr/>
    </dgm:pt>
    <dgm:pt modelId="{523C959C-E7EF-4054-9713-0FDA1B13E28D}" type="pres">
      <dgm:prSet presAssocID="{D07C2CA2-B8D4-4B30-A223-8333716A22A3}" presName="composite" presStyleCnt="0"/>
      <dgm:spPr/>
    </dgm:pt>
    <dgm:pt modelId="{866EDAC4-706A-4FCB-BBC2-ED5EA6078B9C}" type="pres">
      <dgm:prSet presAssocID="{D07C2CA2-B8D4-4B30-A223-8333716A22A3}" presName="imgShp" presStyleLbl="fgImgPlace1" presStyleIdx="0" presStyleCnt="5" custScaleX="8860" custScaleY="14587"/>
      <dgm:spPr/>
    </dgm:pt>
    <dgm:pt modelId="{4A887F7B-1B15-42CB-92C4-A8E8DCF6C8D9}" type="pres">
      <dgm:prSet presAssocID="{D07C2CA2-B8D4-4B30-A223-8333716A22A3}" presName="txShp" presStyleLbl="node1" presStyleIdx="0" presStyleCnt="5">
        <dgm:presLayoutVars>
          <dgm:bulletEnabled val="1"/>
        </dgm:presLayoutVars>
      </dgm:prSet>
      <dgm:spPr/>
    </dgm:pt>
    <dgm:pt modelId="{9B20C03F-F558-4EA8-B084-C59BECEE1546}" type="pres">
      <dgm:prSet presAssocID="{7CEBE871-77AF-4BD2-847D-7C483716BE65}" presName="spacing" presStyleCnt="0"/>
      <dgm:spPr/>
    </dgm:pt>
    <dgm:pt modelId="{75BC14C5-0E1A-49D0-AA80-0F5858008DF0}" type="pres">
      <dgm:prSet presAssocID="{7CB2359B-0348-4650-A7C8-FE7459440C82}" presName="composite" presStyleCnt="0"/>
      <dgm:spPr/>
    </dgm:pt>
    <dgm:pt modelId="{FBEC0C44-5551-4B6E-86D4-BE29DC130803}" type="pres">
      <dgm:prSet presAssocID="{7CB2359B-0348-4650-A7C8-FE7459440C82}" presName="imgShp" presStyleLbl="fgImgPlace1" presStyleIdx="1" presStyleCnt="5" custFlipHor="1" custScaleX="8860" custScaleY="10384"/>
      <dgm:spPr/>
    </dgm:pt>
    <dgm:pt modelId="{3F13EB71-1923-4A5A-AFFD-95861F63AFA3}" type="pres">
      <dgm:prSet presAssocID="{7CB2359B-0348-4650-A7C8-FE7459440C82}" presName="txShp" presStyleLbl="node1" presStyleIdx="1" presStyleCnt="5">
        <dgm:presLayoutVars>
          <dgm:bulletEnabled val="1"/>
        </dgm:presLayoutVars>
      </dgm:prSet>
      <dgm:spPr/>
      <dgm:t>
        <a:bodyPr/>
        <a:lstStyle/>
        <a:p>
          <a:endParaRPr lang="es-ES"/>
        </a:p>
      </dgm:t>
    </dgm:pt>
    <dgm:pt modelId="{B6972F98-033A-4B98-B6D4-653235C477CD}" type="pres">
      <dgm:prSet presAssocID="{3C2CEBA0-4A93-40BF-99BE-EC7645D3E7B0}" presName="spacing" presStyleCnt="0"/>
      <dgm:spPr/>
    </dgm:pt>
    <dgm:pt modelId="{E8F8B0EE-0057-4698-911F-74FDF24E10C5}" type="pres">
      <dgm:prSet presAssocID="{CDCF7E88-C6F9-4AC1-9203-4BF9DC7CEB22}" presName="composite" presStyleCnt="0"/>
      <dgm:spPr/>
    </dgm:pt>
    <dgm:pt modelId="{352FD7D7-214A-45E4-8E8D-821D77F59C92}" type="pres">
      <dgm:prSet presAssocID="{CDCF7E88-C6F9-4AC1-9203-4BF9DC7CEB22}" presName="imgShp" presStyleLbl="fgImgPlace1" presStyleIdx="2" presStyleCnt="5" custScaleX="8860" custScaleY="8860"/>
      <dgm:spPr/>
    </dgm:pt>
    <dgm:pt modelId="{F4B0561E-D290-4718-AF3B-A0EBDE8871FA}" type="pres">
      <dgm:prSet presAssocID="{CDCF7E88-C6F9-4AC1-9203-4BF9DC7CEB22}" presName="txShp" presStyleLbl="node1" presStyleIdx="2" presStyleCnt="5">
        <dgm:presLayoutVars>
          <dgm:bulletEnabled val="1"/>
        </dgm:presLayoutVars>
      </dgm:prSet>
      <dgm:spPr/>
      <dgm:t>
        <a:bodyPr/>
        <a:lstStyle/>
        <a:p>
          <a:endParaRPr lang="es-ES"/>
        </a:p>
      </dgm:t>
    </dgm:pt>
    <dgm:pt modelId="{A4395A63-EE14-4D44-98CA-9FECEA162C4E}" type="pres">
      <dgm:prSet presAssocID="{6B983CA1-AD98-452A-AE3D-BAEAF971A30D}" presName="spacing" presStyleCnt="0"/>
      <dgm:spPr/>
    </dgm:pt>
    <dgm:pt modelId="{6D678B46-CFA0-4F9F-BC73-88519ADC1E10}" type="pres">
      <dgm:prSet presAssocID="{6BF4134C-AF96-4810-83A7-71160323371D}" presName="composite" presStyleCnt="0"/>
      <dgm:spPr/>
    </dgm:pt>
    <dgm:pt modelId="{DAE50AEE-A39D-427D-A750-879D04F3789F}" type="pres">
      <dgm:prSet presAssocID="{6BF4134C-AF96-4810-83A7-71160323371D}" presName="imgShp" presStyleLbl="fgImgPlace1" presStyleIdx="3" presStyleCnt="5" custScaleX="8860" custScaleY="8860"/>
      <dgm:spPr/>
    </dgm:pt>
    <dgm:pt modelId="{BA1DB67C-DE7D-4527-82F7-AB9BB9353811}" type="pres">
      <dgm:prSet presAssocID="{6BF4134C-AF96-4810-83A7-71160323371D}" presName="txShp" presStyleLbl="node1" presStyleIdx="3" presStyleCnt="5">
        <dgm:presLayoutVars>
          <dgm:bulletEnabled val="1"/>
        </dgm:presLayoutVars>
      </dgm:prSet>
      <dgm:spPr/>
    </dgm:pt>
    <dgm:pt modelId="{2B25BB8D-E11D-4B66-A465-61BCF81196B1}" type="pres">
      <dgm:prSet presAssocID="{5501A619-0B9D-46ED-B452-D4036731175E}" presName="spacing" presStyleCnt="0"/>
      <dgm:spPr/>
    </dgm:pt>
    <dgm:pt modelId="{620F5411-53BA-4860-BD84-798084A8F6E8}" type="pres">
      <dgm:prSet presAssocID="{E446F45E-3DCD-4726-9746-E0751BDB9BC5}" presName="composite" presStyleCnt="0"/>
      <dgm:spPr/>
    </dgm:pt>
    <dgm:pt modelId="{82207F01-B967-4ADE-8D04-804F35FD54FF}" type="pres">
      <dgm:prSet presAssocID="{E446F45E-3DCD-4726-9746-E0751BDB9BC5}" presName="imgShp" presStyleLbl="fgImgPlace1" presStyleIdx="4" presStyleCnt="5" custFlipVert="1" custScaleX="8860" custScaleY="8860"/>
      <dgm:spPr/>
    </dgm:pt>
    <dgm:pt modelId="{F91FEEC1-3154-4A9E-965E-1CD423A64764}" type="pres">
      <dgm:prSet presAssocID="{E446F45E-3DCD-4726-9746-E0751BDB9BC5}" presName="txShp" presStyleLbl="node1" presStyleIdx="4" presStyleCnt="5">
        <dgm:presLayoutVars>
          <dgm:bulletEnabled val="1"/>
        </dgm:presLayoutVars>
      </dgm:prSet>
      <dgm:spPr/>
      <dgm:t>
        <a:bodyPr/>
        <a:lstStyle/>
        <a:p>
          <a:endParaRPr lang="es-ES"/>
        </a:p>
      </dgm:t>
    </dgm:pt>
  </dgm:ptLst>
  <dgm:cxnLst>
    <dgm:cxn modelId="{B4DB3CF6-97D5-423E-9C22-AD088C585B94}" type="presOf" srcId="{CDCF7E88-C6F9-4AC1-9203-4BF9DC7CEB22}" destId="{F4B0561E-D290-4718-AF3B-A0EBDE8871FA}" srcOrd="0" destOrd="0" presId="urn:microsoft.com/office/officeart/2005/8/layout/vList3"/>
    <dgm:cxn modelId="{5A8F6C21-3DA9-4257-AE01-DE6417AC098D}" srcId="{78EA4194-AC48-4297-98AD-FB7401CF8566}" destId="{CDCF7E88-C6F9-4AC1-9203-4BF9DC7CEB22}" srcOrd="2" destOrd="0" parTransId="{2ABBD58F-22C7-4D4E-896D-6D66C7E604C2}" sibTransId="{6B983CA1-AD98-452A-AE3D-BAEAF971A30D}"/>
    <dgm:cxn modelId="{1BB3E654-0A49-41A6-9BB4-5684679F63B6}" srcId="{78EA4194-AC48-4297-98AD-FB7401CF8566}" destId="{7CB2359B-0348-4650-A7C8-FE7459440C82}" srcOrd="1" destOrd="0" parTransId="{605483A4-6DE5-474C-91DD-FEA33AC1855C}" sibTransId="{3C2CEBA0-4A93-40BF-99BE-EC7645D3E7B0}"/>
    <dgm:cxn modelId="{BB3EFF2C-8A08-4877-8EA3-B3B7F4C4730D}" srcId="{78EA4194-AC48-4297-98AD-FB7401CF8566}" destId="{D07C2CA2-B8D4-4B30-A223-8333716A22A3}" srcOrd="0" destOrd="0" parTransId="{A472A3D9-5FB4-4A1F-BFFF-44EF66B141CE}" sibTransId="{7CEBE871-77AF-4BD2-847D-7C483716BE65}"/>
    <dgm:cxn modelId="{C460949A-B45E-4B2A-A865-300D50AB0186}" type="presOf" srcId="{7CB2359B-0348-4650-A7C8-FE7459440C82}" destId="{3F13EB71-1923-4A5A-AFFD-95861F63AFA3}" srcOrd="0" destOrd="0" presId="urn:microsoft.com/office/officeart/2005/8/layout/vList3"/>
    <dgm:cxn modelId="{1B609D70-0B0F-4774-8AD7-77F186205745}" type="presOf" srcId="{78EA4194-AC48-4297-98AD-FB7401CF8566}" destId="{B05F339D-ED1F-4381-8AF8-8CCB39F45011}" srcOrd="0" destOrd="0" presId="urn:microsoft.com/office/officeart/2005/8/layout/vList3"/>
    <dgm:cxn modelId="{EDC8C2D3-6544-4C0A-B2C5-8BE611DEC0D9}" type="presOf" srcId="{D07C2CA2-B8D4-4B30-A223-8333716A22A3}" destId="{4A887F7B-1B15-42CB-92C4-A8E8DCF6C8D9}" srcOrd="0" destOrd="0" presId="urn:microsoft.com/office/officeart/2005/8/layout/vList3"/>
    <dgm:cxn modelId="{EF46E0FC-C74B-49D2-8F36-DAA298E7D71A}" srcId="{78EA4194-AC48-4297-98AD-FB7401CF8566}" destId="{6BF4134C-AF96-4810-83A7-71160323371D}" srcOrd="3" destOrd="0" parTransId="{A92F8C7B-7BC3-4109-8C76-0034342B37F8}" sibTransId="{5501A619-0B9D-46ED-B452-D4036731175E}"/>
    <dgm:cxn modelId="{A83BAC63-D31E-4188-B9AD-1E227567B800}" srcId="{78EA4194-AC48-4297-98AD-FB7401CF8566}" destId="{E446F45E-3DCD-4726-9746-E0751BDB9BC5}" srcOrd="4" destOrd="0" parTransId="{C70847B6-3449-4345-97A2-4AA1E66751B9}" sibTransId="{2C132506-1486-4286-9890-92E96022AF8F}"/>
    <dgm:cxn modelId="{F3D06155-758C-469B-A223-F4F634525EED}" type="presOf" srcId="{6BF4134C-AF96-4810-83A7-71160323371D}" destId="{BA1DB67C-DE7D-4527-82F7-AB9BB9353811}" srcOrd="0" destOrd="0" presId="urn:microsoft.com/office/officeart/2005/8/layout/vList3"/>
    <dgm:cxn modelId="{29C5DAD7-1F09-4340-8652-901F90CC9B7D}" type="presOf" srcId="{E446F45E-3DCD-4726-9746-E0751BDB9BC5}" destId="{F91FEEC1-3154-4A9E-965E-1CD423A64764}" srcOrd="0" destOrd="0" presId="urn:microsoft.com/office/officeart/2005/8/layout/vList3"/>
    <dgm:cxn modelId="{FA3A8E95-1028-43D1-A74C-5B6A42A9DDAA}" type="presParOf" srcId="{B05F339D-ED1F-4381-8AF8-8CCB39F45011}" destId="{523C959C-E7EF-4054-9713-0FDA1B13E28D}" srcOrd="0" destOrd="0" presId="urn:microsoft.com/office/officeart/2005/8/layout/vList3"/>
    <dgm:cxn modelId="{3BD937AC-89FE-497C-A3DA-CD05034E5203}" type="presParOf" srcId="{523C959C-E7EF-4054-9713-0FDA1B13E28D}" destId="{866EDAC4-706A-4FCB-BBC2-ED5EA6078B9C}" srcOrd="0" destOrd="0" presId="urn:microsoft.com/office/officeart/2005/8/layout/vList3"/>
    <dgm:cxn modelId="{FD2E6B8D-BDB8-4D22-8201-72897506F035}" type="presParOf" srcId="{523C959C-E7EF-4054-9713-0FDA1B13E28D}" destId="{4A887F7B-1B15-42CB-92C4-A8E8DCF6C8D9}" srcOrd="1" destOrd="0" presId="urn:microsoft.com/office/officeart/2005/8/layout/vList3"/>
    <dgm:cxn modelId="{62F51383-9F20-49DD-A8D2-CDBADBD3129B}" type="presParOf" srcId="{B05F339D-ED1F-4381-8AF8-8CCB39F45011}" destId="{9B20C03F-F558-4EA8-B084-C59BECEE1546}" srcOrd="1" destOrd="0" presId="urn:microsoft.com/office/officeart/2005/8/layout/vList3"/>
    <dgm:cxn modelId="{63428AB7-ED3C-4BB8-B0F9-DDA9AFBC930B}" type="presParOf" srcId="{B05F339D-ED1F-4381-8AF8-8CCB39F45011}" destId="{75BC14C5-0E1A-49D0-AA80-0F5858008DF0}" srcOrd="2" destOrd="0" presId="urn:microsoft.com/office/officeart/2005/8/layout/vList3"/>
    <dgm:cxn modelId="{58875FE4-B184-4260-86AA-5CEBBEFAC47B}" type="presParOf" srcId="{75BC14C5-0E1A-49D0-AA80-0F5858008DF0}" destId="{FBEC0C44-5551-4B6E-86D4-BE29DC130803}" srcOrd="0" destOrd="0" presId="urn:microsoft.com/office/officeart/2005/8/layout/vList3"/>
    <dgm:cxn modelId="{78AFAB7C-E922-401F-8844-AB8E7AF08A25}" type="presParOf" srcId="{75BC14C5-0E1A-49D0-AA80-0F5858008DF0}" destId="{3F13EB71-1923-4A5A-AFFD-95861F63AFA3}" srcOrd="1" destOrd="0" presId="urn:microsoft.com/office/officeart/2005/8/layout/vList3"/>
    <dgm:cxn modelId="{148DF205-943E-4CBF-BDED-C70A4EC413C7}" type="presParOf" srcId="{B05F339D-ED1F-4381-8AF8-8CCB39F45011}" destId="{B6972F98-033A-4B98-B6D4-653235C477CD}" srcOrd="3" destOrd="0" presId="urn:microsoft.com/office/officeart/2005/8/layout/vList3"/>
    <dgm:cxn modelId="{0801341F-B205-4B64-BAD4-38BFDA8A75CD}" type="presParOf" srcId="{B05F339D-ED1F-4381-8AF8-8CCB39F45011}" destId="{E8F8B0EE-0057-4698-911F-74FDF24E10C5}" srcOrd="4" destOrd="0" presId="urn:microsoft.com/office/officeart/2005/8/layout/vList3"/>
    <dgm:cxn modelId="{8872EA06-9D2F-40B0-B122-1333547D95A5}" type="presParOf" srcId="{E8F8B0EE-0057-4698-911F-74FDF24E10C5}" destId="{352FD7D7-214A-45E4-8E8D-821D77F59C92}" srcOrd="0" destOrd="0" presId="urn:microsoft.com/office/officeart/2005/8/layout/vList3"/>
    <dgm:cxn modelId="{773A6891-3BED-40C5-9B49-A9EFFE20BCF2}" type="presParOf" srcId="{E8F8B0EE-0057-4698-911F-74FDF24E10C5}" destId="{F4B0561E-D290-4718-AF3B-A0EBDE8871FA}" srcOrd="1" destOrd="0" presId="urn:microsoft.com/office/officeart/2005/8/layout/vList3"/>
    <dgm:cxn modelId="{DFB784D7-2B67-47C3-8DB6-BB8412A31E85}" type="presParOf" srcId="{B05F339D-ED1F-4381-8AF8-8CCB39F45011}" destId="{A4395A63-EE14-4D44-98CA-9FECEA162C4E}" srcOrd="5" destOrd="0" presId="urn:microsoft.com/office/officeart/2005/8/layout/vList3"/>
    <dgm:cxn modelId="{ABDC2CB9-69BB-4A6A-A371-7021DE30C884}" type="presParOf" srcId="{B05F339D-ED1F-4381-8AF8-8CCB39F45011}" destId="{6D678B46-CFA0-4F9F-BC73-88519ADC1E10}" srcOrd="6" destOrd="0" presId="urn:microsoft.com/office/officeart/2005/8/layout/vList3"/>
    <dgm:cxn modelId="{240830AE-DB46-44BD-B98D-9CD0298054BB}" type="presParOf" srcId="{6D678B46-CFA0-4F9F-BC73-88519ADC1E10}" destId="{DAE50AEE-A39D-427D-A750-879D04F3789F}" srcOrd="0" destOrd="0" presId="urn:microsoft.com/office/officeart/2005/8/layout/vList3"/>
    <dgm:cxn modelId="{4CC3AA7A-09C1-470A-A427-5FE2F5EB49A0}" type="presParOf" srcId="{6D678B46-CFA0-4F9F-BC73-88519ADC1E10}" destId="{BA1DB67C-DE7D-4527-82F7-AB9BB9353811}" srcOrd="1" destOrd="0" presId="urn:microsoft.com/office/officeart/2005/8/layout/vList3"/>
    <dgm:cxn modelId="{7FA9A043-5106-46B9-A3DA-01FA9CF11197}" type="presParOf" srcId="{B05F339D-ED1F-4381-8AF8-8CCB39F45011}" destId="{2B25BB8D-E11D-4B66-A465-61BCF81196B1}" srcOrd="7" destOrd="0" presId="urn:microsoft.com/office/officeart/2005/8/layout/vList3"/>
    <dgm:cxn modelId="{EA636B3A-2B98-4E2D-B5B0-6ECAECEB6779}" type="presParOf" srcId="{B05F339D-ED1F-4381-8AF8-8CCB39F45011}" destId="{620F5411-53BA-4860-BD84-798084A8F6E8}" srcOrd="8" destOrd="0" presId="urn:microsoft.com/office/officeart/2005/8/layout/vList3"/>
    <dgm:cxn modelId="{B0790B52-0998-4143-88A6-1F27215B1C6A}" type="presParOf" srcId="{620F5411-53BA-4860-BD84-798084A8F6E8}" destId="{82207F01-B967-4ADE-8D04-804F35FD54FF}" srcOrd="0" destOrd="0" presId="urn:microsoft.com/office/officeart/2005/8/layout/vList3"/>
    <dgm:cxn modelId="{7D99A4D5-2536-4C6F-AC08-7960C6BA9C10}" type="presParOf" srcId="{620F5411-53BA-4860-BD84-798084A8F6E8}" destId="{F91FEEC1-3154-4A9E-965E-1CD423A64764}" srcOrd="1" destOrd="0" presId="urn:microsoft.com/office/officeart/2005/8/layout/vList3"/>
  </dgm:cxnLst>
  <dgm:bg/>
  <dgm:whole/>
  <dgm:extLst>
    <a:ext uri="http://schemas.microsoft.com/office/drawing/2008/diagram">
      <dsp:dataModelExt xmlns:dsp="http://schemas.microsoft.com/office/drawing/2008/diagram" xmlns="" relId="rId17"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4A887F7B-1B15-42CB-92C4-A8E8DCF6C8D9}">
      <dsp:nvSpPr>
        <dsp:cNvPr id="0" name=""/>
        <dsp:cNvSpPr/>
      </dsp:nvSpPr>
      <dsp:spPr>
        <a:xfrm rot="10800000">
          <a:off x="994916" y="1780"/>
          <a:ext cx="3881787" cy="775319"/>
        </a:xfrm>
        <a:prstGeom prst="homePlate">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1895" tIns="57150" rIns="106680" bIns="57150" numCol="1" spcCol="1270" anchor="ctr" anchorCtr="0">
          <a:noAutofit/>
        </a:bodyPr>
        <a:lstStyle/>
        <a:p>
          <a:pPr lvl="0" algn="ctr" defTabSz="666750">
            <a:lnSpc>
              <a:spcPct val="90000"/>
            </a:lnSpc>
            <a:spcBef>
              <a:spcPct val="0"/>
            </a:spcBef>
            <a:spcAft>
              <a:spcPct val="35000"/>
            </a:spcAft>
          </a:pPr>
          <a:r>
            <a:rPr lang="es-ES" sz="1500" kern="1200"/>
            <a:t>1. Promoción del ejercicio ciudadano y comunitario para la prevención de violencia colectiva</a:t>
          </a:r>
        </a:p>
      </dsp:txBody>
      <dsp:txXfrm rot="10800000">
        <a:off x="994916" y="1780"/>
        <a:ext cx="3881787" cy="775319"/>
      </dsp:txXfrm>
    </dsp:sp>
    <dsp:sp modelId="{866EDAC4-706A-4FCB-BBC2-ED5EA6078B9C}">
      <dsp:nvSpPr>
        <dsp:cNvPr id="0" name=""/>
        <dsp:cNvSpPr/>
      </dsp:nvSpPr>
      <dsp:spPr>
        <a:xfrm>
          <a:off x="960570" y="332892"/>
          <a:ext cx="68693" cy="113095"/>
        </a:xfrm>
        <a:prstGeom prst="ellipse">
          <a:avLst/>
        </a:prstGeom>
        <a:solidFill>
          <a:schemeClr val="dk2">
            <a:tint val="50000"/>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3F13EB71-1923-4A5A-AFFD-95861F63AFA3}">
      <dsp:nvSpPr>
        <dsp:cNvPr id="0" name=""/>
        <dsp:cNvSpPr/>
      </dsp:nvSpPr>
      <dsp:spPr>
        <a:xfrm rot="10800000">
          <a:off x="994916" y="1008539"/>
          <a:ext cx="3881787" cy="775319"/>
        </a:xfrm>
        <a:prstGeom prst="homePlate">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1895" tIns="57150" rIns="106680" bIns="57150" numCol="1" spcCol="1270" anchor="ctr" anchorCtr="0">
          <a:noAutofit/>
        </a:bodyPr>
        <a:lstStyle/>
        <a:p>
          <a:pPr lvl="0" algn="ctr" defTabSz="666750">
            <a:lnSpc>
              <a:spcPct val="90000"/>
            </a:lnSpc>
            <a:spcBef>
              <a:spcPct val="0"/>
            </a:spcBef>
            <a:spcAft>
              <a:spcPct val="35000"/>
            </a:spcAft>
          </a:pPr>
          <a:r>
            <a:rPr lang="es-ES_tradnl" sz="1500" kern="1200"/>
            <a:t>2. Atención a las violaciones del derecho a la vida por causas de violencia colectiva</a:t>
          </a:r>
          <a:endParaRPr lang="es-ES" sz="1500" kern="1200"/>
        </a:p>
      </dsp:txBody>
      <dsp:txXfrm rot="10800000">
        <a:off x="994916" y="1008539"/>
        <a:ext cx="3881787" cy="775319"/>
      </dsp:txXfrm>
    </dsp:sp>
    <dsp:sp modelId="{FBEC0C44-5551-4B6E-86D4-BE29DC130803}">
      <dsp:nvSpPr>
        <dsp:cNvPr id="0" name=""/>
        <dsp:cNvSpPr/>
      </dsp:nvSpPr>
      <dsp:spPr>
        <a:xfrm flipH="1">
          <a:off x="960570" y="1355944"/>
          <a:ext cx="68693" cy="80509"/>
        </a:xfrm>
        <a:prstGeom prst="ellipse">
          <a:avLst/>
        </a:prstGeom>
        <a:solidFill>
          <a:schemeClr val="dk2">
            <a:tint val="50000"/>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F4B0561E-D290-4718-AF3B-A0EBDE8871FA}">
      <dsp:nvSpPr>
        <dsp:cNvPr id="0" name=""/>
        <dsp:cNvSpPr/>
      </dsp:nvSpPr>
      <dsp:spPr>
        <a:xfrm rot="10800000">
          <a:off x="994916" y="2015298"/>
          <a:ext cx="3881787" cy="775319"/>
        </a:xfrm>
        <a:prstGeom prst="homePlate">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1895" tIns="57150" rIns="106680" bIns="57150" numCol="1" spcCol="1270" anchor="ctr" anchorCtr="0">
          <a:noAutofit/>
        </a:bodyPr>
        <a:lstStyle/>
        <a:p>
          <a:pPr lvl="0" algn="ctr" defTabSz="666750">
            <a:lnSpc>
              <a:spcPct val="90000"/>
            </a:lnSpc>
            <a:spcBef>
              <a:spcPct val="0"/>
            </a:spcBef>
            <a:spcAft>
              <a:spcPct val="35000"/>
            </a:spcAft>
          </a:pPr>
          <a:r>
            <a:rPr lang="es-ES_tradnl" sz="1500" kern="1200"/>
            <a:t>3. Alerta temprana para la prevención de las violaciones desde la violencia colectiva</a:t>
          </a:r>
          <a:endParaRPr lang="es-ES" sz="1500" kern="1200"/>
        </a:p>
      </dsp:txBody>
      <dsp:txXfrm rot="10800000">
        <a:off x="994916" y="2015298"/>
        <a:ext cx="3881787" cy="775319"/>
      </dsp:txXfrm>
    </dsp:sp>
    <dsp:sp modelId="{352FD7D7-214A-45E4-8E8D-821D77F59C92}">
      <dsp:nvSpPr>
        <dsp:cNvPr id="0" name=""/>
        <dsp:cNvSpPr/>
      </dsp:nvSpPr>
      <dsp:spPr>
        <a:xfrm>
          <a:off x="960570" y="2368611"/>
          <a:ext cx="68693" cy="68693"/>
        </a:xfrm>
        <a:prstGeom prst="ellipse">
          <a:avLst/>
        </a:prstGeom>
        <a:solidFill>
          <a:schemeClr val="dk2">
            <a:tint val="50000"/>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BA1DB67C-DE7D-4527-82F7-AB9BB9353811}">
      <dsp:nvSpPr>
        <dsp:cNvPr id="0" name=""/>
        <dsp:cNvSpPr/>
      </dsp:nvSpPr>
      <dsp:spPr>
        <a:xfrm rot="10800000">
          <a:off x="994916" y="3022056"/>
          <a:ext cx="3881787" cy="775319"/>
        </a:xfrm>
        <a:prstGeom prst="homePlate">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1895" tIns="57150" rIns="106680" bIns="57150" numCol="1" spcCol="1270" anchor="ctr" anchorCtr="0">
          <a:noAutofit/>
        </a:bodyPr>
        <a:lstStyle/>
        <a:p>
          <a:pPr lvl="0" algn="ctr" defTabSz="666750">
            <a:lnSpc>
              <a:spcPct val="90000"/>
            </a:lnSpc>
            <a:spcBef>
              <a:spcPct val="0"/>
            </a:spcBef>
            <a:spcAft>
              <a:spcPct val="35000"/>
            </a:spcAft>
          </a:pPr>
          <a:r>
            <a:rPr lang="es-ES_tradnl" sz="1500" kern="1200"/>
            <a:t>4. Incidencia y formulación de políticas para la prevención de violencia colectiva</a:t>
          </a:r>
          <a:endParaRPr lang="es-ES" sz="1500" kern="1200"/>
        </a:p>
      </dsp:txBody>
      <dsp:txXfrm rot="10800000">
        <a:off x="994916" y="3022056"/>
        <a:ext cx="3881787" cy="775319"/>
      </dsp:txXfrm>
    </dsp:sp>
    <dsp:sp modelId="{DAE50AEE-A39D-427D-A750-879D04F3789F}">
      <dsp:nvSpPr>
        <dsp:cNvPr id="0" name=""/>
        <dsp:cNvSpPr/>
      </dsp:nvSpPr>
      <dsp:spPr>
        <a:xfrm>
          <a:off x="960570" y="3375370"/>
          <a:ext cx="68693" cy="68693"/>
        </a:xfrm>
        <a:prstGeom prst="ellipse">
          <a:avLst/>
        </a:prstGeom>
        <a:solidFill>
          <a:schemeClr val="dk2">
            <a:tint val="50000"/>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F91FEEC1-3154-4A9E-965E-1CD423A64764}">
      <dsp:nvSpPr>
        <dsp:cNvPr id="0" name=""/>
        <dsp:cNvSpPr/>
      </dsp:nvSpPr>
      <dsp:spPr>
        <a:xfrm rot="10800000">
          <a:off x="994916" y="4028815"/>
          <a:ext cx="3881787" cy="775319"/>
        </a:xfrm>
        <a:prstGeom prst="homePlate">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1895" tIns="57150" rIns="106680" bIns="57150" numCol="1" spcCol="1270" anchor="ctr" anchorCtr="0">
          <a:noAutofit/>
        </a:bodyPr>
        <a:lstStyle/>
        <a:p>
          <a:pPr lvl="0" algn="ctr" defTabSz="666750">
            <a:lnSpc>
              <a:spcPct val="90000"/>
            </a:lnSpc>
            <a:spcBef>
              <a:spcPct val="0"/>
            </a:spcBef>
            <a:spcAft>
              <a:spcPct val="35000"/>
            </a:spcAft>
          </a:pPr>
          <a:r>
            <a:rPr lang="es-ES_tradnl" sz="1500" kern="1200"/>
            <a:t>5. Monitoreo del ejercicio ciudadano comunitario para la prevención de violencia colectiva</a:t>
          </a:r>
          <a:endParaRPr lang="es-ES" sz="1500" kern="1200"/>
        </a:p>
      </dsp:txBody>
      <dsp:txXfrm rot="10800000">
        <a:off x="994916" y="4028815"/>
        <a:ext cx="3881787" cy="775319"/>
      </dsp:txXfrm>
    </dsp:sp>
    <dsp:sp modelId="{82207F01-B967-4ADE-8D04-804F35FD54FF}">
      <dsp:nvSpPr>
        <dsp:cNvPr id="0" name=""/>
        <dsp:cNvSpPr/>
      </dsp:nvSpPr>
      <dsp:spPr>
        <a:xfrm flipV="1">
          <a:off x="960570" y="4382128"/>
          <a:ext cx="68693" cy="68693"/>
        </a:xfrm>
        <a:prstGeom prst="ellipse">
          <a:avLst/>
        </a:prstGeom>
        <a:solidFill>
          <a:schemeClr val="dk2">
            <a:tint val="50000"/>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vList3">
  <dgm:title val=""/>
  <dgm:desc val=""/>
  <dgm:catLst>
    <dgm:cat type="list" pri="14000"/>
    <dgm:cat type="convert" pri="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dir/>
      <dgm:resizeHandles val="exact"/>
    </dgm:varLst>
    <dgm:alg type="lin">
      <dgm:param type="linDir" val="fromT"/>
      <dgm:param type="vertAlign" val="mid"/>
      <dgm:param type="horzAlign" val="ctr"/>
    </dgm:alg>
    <dgm:shape xmlns:r="http://schemas.openxmlformats.org/officeDocument/2006/relationships" r:blip="">
      <dgm:adjLst/>
    </dgm:shape>
    <dgm:presOf/>
    <dgm:constrLst>
      <dgm:constr type="w" for="ch" forName="composite" refType="w"/>
      <dgm:constr type="h" for="ch" forName="composite" refType="h"/>
      <dgm:constr type="h" for="ch" forName="spacing" refType="h" refFor="ch" refForName="composite" fact="0.25"/>
      <dgm:constr type="h" for="ch" forName="spacing" refType="w" op="lte" fact="0.1"/>
      <dgm:constr type="primFontSz" for="des" ptType="node"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w" for="ch" forName="imgShp" refType="w" fact="0.335"/>
              <dgm:constr type="h" for="ch" forName="imgShp" refType="w" refFor="ch" refForName="imgShp" op="equ"/>
              <dgm:constr type="h" for="ch" forName="imgShp" refType="h" op="lte"/>
              <dgm:constr type="ctrY" for="ch" forName="imgShp" refType="h" fact="0.5"/>
              <dgm:constr type="l" for="ch" forName="imgShp"/>
              <dgm:constr type="w" for="ch" forName="txShp" refType="w" op="equ" fact="0.665"/>
              <dgm:constr type="h" for="ch" forName="txShp" refType="h" refFor="ch" refForName="imgShp" op="equ"/>
              <dgm:constr type="ctrY" for="ch" forName="txShp" refType="h" fact="0.5"/>
              <dgm:constr type="l" for="ch" forName="txShp" refType="w" refFor="ch" refForName="imgShp" fact="0.5"/>
              <dgm:constr type="lMarg" for="ch" forName="txShp" refType="w" refFor="ch" refForName="imgShp" fact="1.25"/>
            </dgm:constrLst>
          </dgm:if>
          <dgm:else name="Name3">
            <dgm:constrLst>
              <dgm:constr type="w" for="ch" forName="imgShp" refType="w" fact="0.335"/>
              <dgm:constr type="h" for="ch" forName="imgShp" refType="w" refFor="ch" refForName="imgShp" op="equ"/>
              <dgm:constr type="h" for="ch" forName="imgShp" refType="h" op="lte"/>
              <dgm:constr type="ctrY" for="ch" forName="imgShp" refType="h" fact="0.5"/>
              <dgm:constr type="r" for="ch" forName="imgShp" refType="w"/>
              <dgm:constr type="w" for="ch" forName="txShp" refType="w" op="equ" fact="0.665"/>
              <dgm:constr type="h" for="ch" forName="txShp" refType="h" refFor="ch" refForName="imgShp" op="equ"/>
              <dgm:constr type="ctrY" for="ch" forName="txShp" refType="h" fact="0.5"/>
              <dgm:constr type="r" for="ch" forName="txShp" refType="ctrX" refFor="ch" refForName="imgShp"/>
              <dgm:constr type="rMarg" for="ch" forName="txShp" refType="w" refFor="ch" refForName="imgShp" fact="1.25"/>
            </dgm:constrLst>
          </dgm:else>
        </dgm:choose>
        <dgm:ruleLst/>
        <dgm:layoutNode name="imgShp" styleLbl="fgImgPlace1">
          <dgm:alg type="sp"/>
          <dgm:shape xmlns:r="http://schemas.openxmlformats.org/officeDocument/2006/relationships" type="ellipse" r:blip="" blipPhldr="1">
            <dgm:adjLst/>
          </dgm:shape>
          <dgm:presOf/>
          <dgm:constrLst/>
          <dgm:ruleLst/>
        </dgm:layoutNode>
        <dgm:layoutNode name="txShp">
          <dgm:varLst>
            <dgm:bulletEnabled val="1"/>
          </dgm:varLst>
          <dgm:alg type="tx"/>
          <dgm:choose name="Name4">
            <dgm:if name="Name5" func="var" arg="dir" op="equ" val="norm">
              <dgm:shape xmlns:r="http://schemas.openxmlformats.org/officeDocument/2006/relationships" rot="180" type="homePlate" r:blip="" zOrderOff="-1">
                <dgm:adjLst/>
              </dgm:shape>
            </dgm:if>
            <dgm:else name="Name6">
              <dgm:shape xmlns:r="http://schemas.openxmlformats.org/officeDocument/2006/relationships" type="homePlate" r:blip="" zOrderOff="-1">
                <dgm:adjLst/>
              </dgm:shape>
            </dgm:else>
          </dgm:choose>
          <dgm:presOf axis="desOrSelf" ptType="node"/>
          <dgm:constrLst>
            <dgm:constr type="tMarg" refType="primFontSz" fact="0.3"/>
            <dgm:constr type="bMarg" refType="primFontSz" fact="0.3"/>
          </dgm:constrLst>
          <dgm:ruleLst>
            <dgm:rule type="primFontSz" val="5" fact="NaN" max="NaN"/>
          </dgm:ruleLst>
        </dgm:layoutNode>
      </dgm:layoutNode>
      <dgm:forEach name="Name7" axis="followSib" ptType="sibTrans" cnt="1">
        <dgm:layoutNode name="spacing">
          <dgm:alg type="sp"/>
          <dgm:shape xmlns:r="http://schemas.openxmlformats.org/officeDocument/2006/relationships" r:blip="">
            <dgm:adjLst/>
          </dgm:shape>
          <dgm:presOf axis="sel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altName w:val="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MS Reference Sans Serif">
    <w:altName w:val="MS Reference Sans Serif"/>
    <w:panose1 w:val="020B0604030504040204"/>
    <w:charset w:val="00"/>
    <w:family w:val="swiss"/>
    <w:pitch w:val="variable"/>
    <w:sig w:usb0="20000287" w:usb1="00000000" w:usb2="00000000" w:usb3="00000000" w:csb0="0000019F" w:csb1="00000000"/>
  </w:font>
  <w:font w:name="Cambria Math">
    <w:panose1 w:val="02040503050406030204"/>
    <w:charset w:val="00"/>
    <w:family w:val="roman"/>
    <w:pitch w:val="variable"/>
    <w:sig w:usb0="A00002EF" w:usb1="420020E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023522"/>
    <w:rsid w:val="00023522"/>
    <w:rsid w:val="004E4DE9"/>
    <w:rsid w:val="00BD0FF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0FF4"/>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5F247F26F75C465C841E4CF41D973EF3">
    <w:name w:val="5F247F26F75C465C841E4CF41D973EF3"/>
    <w:rsid w:val="00023522"/>
  </w:style>
  <w:style w:type="paragraph" w:customStyle="1" w:styleId="427A1EC6FCA7434DAB2DA7F352EFC1BF">
    <w:name w:val="427A1EC6FCA7434DAB2DA7F352EFC1BF"/>
    <w:rsid w:val="00023522"/>
  </w:style>
  <w:style w:type="paragraph" w:customStyle="1" w:styleId="EA16483C0ABF4779944E42CF07EBF0DF">
    <w:name w:val="EA16483C0ABF4779944E42CF07EBF0DF"/>
    <w:rsid w:val="00BD0FF4"/>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Gar091</b:Tag>
    <b:SourceType>BookSection</b:SourceType>
    <b:Guid>{44A0B365-C20F-479A-AFA4-32FED330BC17}</b:Guid>
    <b:LCID>0</b:LCID>
    <b:Author>
      <b:Author>
        <b:NameList>
          <b:Person>
            <b:Last>García</b:Last>
            <b:First>Julián</b:First>
            <b:Middle>López</b:Middle>
          </b:Person>
          <b:Person>
            <b:Last>Juárez</b:Last>
            <b:First>Lorenzo</b:First>
            <b:Middle>Mariano</b:Middle>
          </b:Person>
        </b:NameList>
      </b:Author>
      <b:BookAuthor>
        <b:NameList>
          <b:Person>
            <b:Last>García</b:Last>
            <b:First>Julián</b:First>
            <b:Middle>López</b:Middle>
          </b:Person>
          <b:Person>
            <b:Last>Juárez</b:Last>
            <b:First>Lorenzo</b:First>
            <b:Middle>Mariano</b:Middle>
          </b:Person>
          <b:Person>
            <b:Last>Camus</b:Last>
            <b:First>Manuela</b:First>
          </b:Person>
        </b:NameList>
      </b:BookAuthor>
    </b:Author>
    <b:Title>Hacia una deconstrucción del linchamiento como categoría estable. Nuevos contextos, nuevas aproximaciones y nuevas implicaciones para un análisis complejo</b:Title>
    <b:BookTitle>Guatemala: violencias desbordadas</b:BookTitle>
    <b:Year>2009</b:Year>
    <b:Pages>416</b:Pages>
    <b:City>Córdova</b:City>
    <b:Publisher>Servicio Publicaciones de la Universidad de Córdova</b:Publisher>
    <b:RefOrder>1</b:RefOrder>
  </b:Source>
  <b:Source>
    <b:Tag>Pro12</b:Tag>
    <b:SourceType>Report</b:SourceType>
    <b:Guid>{59049941-0992-4B26-9C70-43BE290D2695}</b:Guid>
    <b:LCID>0</b:LCID>
    <b:Author>
      <b:Author>
        <b:Corporate>Procurador de los derechos humanos</b:Corporate>
      </b:Author>
    </b:Author>
    <b:Title>Informe Anual Circunstanciado sobre la situación de los derechos humanos de Guatemala</b:Title>
    <b:Year>2012</b:Year>
    <b:City>Guatemala</b:City>
    <b:Publisher>Procurador de los derechos humanos</b:Publisher>
    <b:RefOrder>3</b:RefOrder>
  </b:Source>
  <b:Source>
    <b:Tag>Wor12</b:Tag>
    <b:SourceType>InternetSite</b:SourceType>
    <b:Guid>{88F8047E-E90F-41DA-AF02-86E28FDDBDB2}</b:Guid>
    <b:LCID>0</b:LCID>
    <b:Author>
      <b:Author>
        <b:Corporate>World Bank </b:Corporate>
      </b:Author>
    </b:Author>
    <b:Title>The World Bank</b:Title>
    <b:Year>2012</b:Year>
    <b:InternetSiteTitle>The World Bank</b:InternetSiteTitle>
    <b:YearAccessed>2013</b:YearAccessed>
    <b:MonthAccessed>septiembre</b:MonthAccessed>
    <b:DayAccessed>19</b:DayAccessed>
    <b:URL>http://data.worldbank.org/country/guatemala</b:URL>
    <b:RefOrder>4</b:RefOrder>
  </b:Source>
  <b:Source>
    <b:Tag>And04</b:Tag>
    <b:SourceType>Book</b:SourceType>
    <b:Guid>{CE23923C-BA4D-4B52-AD40-CA88E7C6C7B3}</b:Guid>
    <b:LCID>0</b:LCID>
    <b:Author>
      <b:Author>
        <b:NameList>
          <b:Person>
            <b:Last>Mack</b:Last>
            <b:First>Andrew</b:First>
          </b:Person>
        </b:NameList>
      </b:Author>
    </b:Author>
    <b:Title>El concepto de seguridad humana</b:Title>
    <b:Year>2004</b:Year>
    <b:City>Bonn</b:City>
    <b:Publisher>Papeles</b:Publisher>
    <b:RefOrder>5</b:RefOrder>
  </b:Source>
  <b:Source>
    <b:Tag>Roc96</b:Tag>
    <b:SourceType>JournalArticle</b:SourceType>
    <b:Guid>{D1A783A8-0574-4B28-9A03-4AEFDCAA3E9F}</b:Guid>
    <b:LCID>0</b:LCID>
    <b:Author>
      <b:Author>
        <b:NameList>
          <b:Person>
            <b:Last>Roche</b:Last>
            <b:First>Roberta</b:First>
            <b:Middle>Senechal de la</b:Middle>
          </b:Person>
        </b:NameList>
      </b:Author>
    </b:Author>
    <b:Title>Collective Violence as Social Control</b:Title>
    <b:Year>1996</b:Year>
    <b:Publisher>Springer</b:Publisher>
    <b:BookTitle>Sociological Forum</b:BookTitle>
    <b:Pages>33</b:Pages>
    <b:JournalName>Sociological Forum</b:JournalName>
    <b:Month>Marzo</b:Month>
    <b:Volume>11</b:Volume>
    <b:Issue>1</b:Issue>
    <b:RefOrder>2</b:RefOrder>
  </b:Source>
  <b:Source>
    <b:Tag>Ber84</b:Tag>
    <b:SourceType>Book</b:SourceType>
    <b:Guid>{A76D8E47-DBEE-496F-81B7-3A9E38ABF0FA}</b:Guid>
    <b:LCID>0</b:LCID>
    <b:Author>
      <b:Author>
        <b:NameList>
          <b:Person>
            <b:Last>Berger</b:Last>
            <b:First>Peter</b:First>
          </b:Person>
          <b:Person>
            <b:Last>Luckmann</b:Last>
            <b:First>Thomas</b:First>
          </b:Person>
        </b:NameList>
      </b:Author>
    </b:Author>
    <b:Title>La construcción social de la realidad</b:Title>
    <b:Year>1984</b:Year>
    <b:City>Buenos Aires</b:City>
    <b:Publisher>Amorrortu editores</b:Publisher>
    <b:RefOrder>6</b:RefOrder>
  </b:Source>
  <b:Source>
    <b:Tag>San08</b:Tag>
    <b:SourceType>Report</b:SourceType>
    <b:Guid>{D349C46F-311C-4265-BC07-40D945D148FF}</b:Guid>
    <b:LCID>0</b:LCID>
    <b:Author>
      <b:Author>
        <b:NameList>
          <b:Person>
            <b:Last>Santillán</b:Last>
            <b:First>Alfredo</b:First>
          </b:Person>
        </b:NameList>
      </b:Author>
    </b:Author>
    <b:Title>Linchamientos urbanos. "Ajusticiamiento popular en tiempos de seguridad ciudadana"</b:Title>
    <b:Year>2008</b:Year>
    <b:Publisher>FLACSO</b:Publisher>
    <b:City>Ecuador</b:City>
    <b:Institution>Revista de Ciencias Sociales</b:Institution>
    <b:RefOrder>7</b:RefOrder>
  </b:Source>
</b:Sources>
</file>

<file path=customXml/itemProps1.xml><?xml version="1.0" encoding="utf-8"?>
<ds:datastoreItem xmlns:ds="http://schemas.openxmlformats.org/officeDocument/2006/customXml" ds:itemID="{9A2369D8-6A7C-46E3-8AAB-19AC9DDD6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282</TotalTime>
  <Pages>22</Pages>
  <Words>4362</Words>
  <Characters>23992</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
    </vt:vector>
  </TitlesOfParts>
  <Company>Familia</Company>
  <LinksUpToDate>false</LinksUpToDate>
  <CharactersWithSpaces>28298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Burckhard</dc:creator>
  <cp:keywords/>
  <dc:description/>
  <cp:lastModifiedBy>Stephanie Burckhard</cp:lastModifiedBy>
  <cp:revision>111</cp:revision>
  <dcterms:created xsi:type="dcterms:W3CDTF">2013-10-16T23:29:00Z</dcterms:created>
  <dcterms:modified xsi:type="dcterms:W3CDTF">2013-10-17T06:20:00Z</dcterms:modified>
</cp:coreProperties>
</file>