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64964" w14:textId="77777777" w:rsidR="007A7DCD" w:rsidRPr="00070AB9" w:rsidRDefault="007A7DCD" w:rsidP="007A7DCD">
      <w:pPr>
        <w:spacing w:line="480" w:lineRule="auto"/>
        <w:jc w:val="center"/>
        <w:rPr>
          <w:rFonts w:ascii="Times New Roman" w:hAnsi="Times New Roman" w:cs="Times New Roman"/>
          <w:b/>
          <w:bCs/>
          <w:color w:val="000000" w:themeColor="text1"/>
          <w:sz w:val="24"/>
          <w:szCs w:val="24"/>
          <w:u w:val="single"/>
        </w:rPr>
      </w:pPr>
    </w:p>
    <w:p w14:paraId="194A7086" w14:textId="77777777" w:rsidR="007A7DCD" w:rsidRPr="00070AB9" w:rsidRDefault="007A7DCD" w:rsidP="00120197">
      <w:pPr>
        <w:pStyle w:val="OBECOVERTITLE"/>
        <w:rPr>
          <w:rFonts w:ascii="Times New Roman" w:hAnsi="Times New Roman" w:cs="Times New Roman"/>
          <w:b/>
          <w:bCs/>
          <w:color w:val="000000" w:themeColor="text1"/>
        </w:rPr>
      </w:pPr>
    </w:p>
    <w:p w14:paraId="57CB8D6F" w14:textId="77777777" w:rsidR="007A7DCD" w:rsidRPr="00070AB9" w:rsidRDefault="007A7DCD" w:rsidP="007A7DCD">
      <w:pPr>
        <w:spacing w:line="480" w:lineRule="auto"/>
        <w:jc w:val="center"/>
        <w:rPr>
          <w:rFonts w:ascii="Times New Roman" w:hAnsi="Times New Roman" w:cs="Times New Roman"/>
          <w:b/>
          <w:bCs/>
          <w:color w:val="000000" w:themeColor="text1"/>
          <w:sz w:val="24"/>
          <w:szCs w:val="24"/>
          <w:u w:val="single"/>
        </w:rPr>
      </w:pPr>
    </w:p>
    <w:p w14:paraId="36FDC37A" w14:textId="77777777" w:rsidR="007A7DCD" w:rsidRPr="00070AB9" w:rsidRDefault="007A7DCD" w:rsidP="00070AB9">
      <w:pPr>
        <w:pStyle w:val="OBEBibliography"/>
        <w:jc w:val="center"/>
        <w:rPr>
          <w:rFonts w:ascii="Times New Roman" w:hAnsi="Times New Roman"/>
          <w:b/>
          <w:bCs/>
          <w:sz w:val="28"/>
          <w:szCs w:val="28"/>
        </w:rPr>
      </w:pPr>
    </w:p>
    <w:p w14:paraId="14A6CDF8" w14:textId="1574D92F" w:rsidR="007A7DCD" w:rsidRPr="00070AB9" w:rsidRDefault="000E4DE0" w:rsidP="00070AB9">
      <w:pPr>
        <w:pStyle w:val="OBEBibliography"/>
        <w:jc w:val="center"/>
        <w:rPr>
          <w:rFonts w:ascii="Times New Roman" w:hAnsi="Times New Roman"/>
          <w:b/>
          <w:bCs/>
          <w:sz w:val="28"/>
          <w:szCs w:val="28"/>
        </w:rPr>
      </w:pPr>
      <w:r w:rsidRPr="00070AB9">
        <w:rPr>
          <w:rFonts w:ascii="Times New Roman" w:hAnsi="Times New Roman"/>
          <w:b/>
          <w:bCs/>
          <w:sz w:val="28"/>
          <w:szCs w:val="28"/>
        </w:rPr>
        <w:t>P</w:t>
      </w:r>
      <w:r w:rsidR="00070AB9">
        <w:rPr>
          <w:rFonts w:ascii="Times New Roman" w:hAnsi="Times New Roman"/>
          <w:b/>
          <w:bCs/>
          <w:sz w:val="28"/>
          <w:szCs w:val="28"/>
        </w:rPr>
        <w:t>ortia</w:t>
      </w:r>
      <w:r w:rsidRPr="00070AB9">
        <w:rPr>
          <w:rFonts w:ascii="Times New Roman" w:hAnsi="Times New Roman"/>
          <w:b/>
          <w:bCs/>
          <w:sz w:val="28"/>
          <w:szCs w:val="28"/>
        </w:rPr>
        <w:t xml:space="preserve"> A</w:t>
      </w:r>
      <w:r w:rsidR="00070AB9">
        <w:rPr>
          <w:rFonts w:ascii="Times New Roman" w:hAnsi="Times New Roman"/>
          <w:b/>
          <w:bCs/>
          <w:sz w:val="28"/>
          <w:szCs w:val="28"/>
        </w:rPr>
        <w:t>ntonia</w:t>
      </w:r>
      <w:r w:rsidRPr="00070AB9">
        <w:rPr>
          <w:rFonts w:ascii="Times New Roman" w:hAnsi="Times New Roman"/>
          <w:b/>
          <w:bCs/>
          <w:sz w:val="28"/>
          <w:szCs w:val="28"/>
        </w:rPr>
        <w:t xml:space="preserve"> A</w:t>
      </w:r>
      <w:r w:rsidR="00070AB9">
        <w:rPr>
          <w:rFonts w:ascii="Times New Roman" w:hAnsi="Times New Roman"/>
          <w:b/>
          <w:bCs/>
          <w:sz w:val="28"/>
          <w:szCs w:val="28"/>
        </w:rPr>
        <w:t>lexis</w:t>
      </w:r>
    </w:p>
    <w:p w14:paraId="727561E1" w14:textId="1C38D7DF" w:rsidR="00070AB9" w:rsidRPr="00070AB9" w:rsidRDefault="00070AB9" w:rsidP="00070AB9">
      <w:pPr>
        <w:pStyle w:val="OBEBibliography"/>
        <w:jc w:val="center"/>
        <w:rPr>
          <w:rFonts w:ascii="Times New Roman" w:hAnsi="Times New Roman"/>
          <w:b/>
          <w:bCs/>
          <w:sz w:val="28"/>
          <w:szCs w:val="28"/>
        </w:rPr>
      </w:pPr>
    </w:p>
    <w:p w14:paraId="4BBE457A" w14:textId="01D530BC" w:rsidR="00070AB9" w:rsidRPr="00070AB9" w:rsidRDefault="00070AB9" w:rsidP="00070AB9">
      <w:pPr>
        <w:pStyle w:val="OBEBibliography"/>
        <w:jc w:val="center"/>
        <w:rPr>
          <w:rFonts w:ascii="Times New Roman" w:hAnsi="Times New Roman"/>
          <w:b/>
          <w:bCs/>
          <w:sz w:val="28"/>
          <w:szCs w:val="28"/>
        </w:rPr>
      </w:pPr>
      <w:r w:rsidRPr="00070AB9">
        <w:rPr>
          <w:rFonts w:ascii="Times New Roman" w:hAnsi="Times New Roman"/>
          <w:b/>
          <w:bCs/>
          <w:sz w:val="28"/>
          <w:szCs w:val="28"/>
        </w:rPr>
        <w:t>London School of Economics and Political Science</w:t>
      </w:r>
    </w:p>
    <w:p w14:paraId="2FC2A5A5" w14:textId="77777777" w:rsidR="000E4DE0" w:rsidRPr="00070AB9" w:rsidRDefault="000E4DE0" w:rsidP="00070AB9">
      <w:pPr>
        <w:pStyle w:val="OBEBibliography"/>
        <w:jc w:val="center"/>
        <w:rPr>
          <w:rFonts w:ascii="Times New Roman" w:hAnsi="Times New Roman"/>
          <w:b/>
          <w:bCs/>
          <w:sz w:val="28"/>
          <w:szCs w:val="28"/>
        </w:rPr>
      </w:pPr>
    </w:p>
    <w:p w14:paraId="007DAA92" w14:textId="78914268" w:rsidR="005A7CFB" w:rsidRPr="00070AB9" w:rsidRDefault="005F2FB1" w:rsidP="00070AB9">
      <w:pPr>
        <w:pStyle w:val="OBEBibliography"/>
        <w:jc w:val="center"/>
        <w:rPr>
          <w:rFonts w:ascii="Times New Roman" w:hAnsi="Times New Roman"/>
          <w:b/>
          <w:bCs/>
          <w:sz w:val="28"/>
          <w:szCs w:val="28"/>
        </w:rPr>
      </w:pPr>
      <w:r w:rsidRPr="00070AB9">
        <w:rPr>
          <w:rFonts w:ascii="Times New Roman" w:hAnsi="Times New Roman"/>
          <w:b/>
          <w:bCs/>
          <w:sz w:val="28"/>
          <w:szCs w:val="28"/>
        </w:rPr>
        <w:t xml:space="preserve">The </w:t>
      </w:r>
      <w:r w:rsidR="000E4DE0" w:rsidRPr="00070AB9">
        <w:rPr>
          <w:rFonts w:ascii="Times New Roman" w:hAnsi="Times New Roman"/>
          <w:b/>
          <w:bCs/>
          <w:sz w:val="28"/>
          <w:szCs w:val="28"/>
        </w:rPr>
        <w:t>E</w:t>
      </w:r>
      <w:r w:rsidR="00070AB9" w:rsidRPr="00070AB9">
        <w:rPr>
          <w:rFonts w:ascii="Times New Roman" w:hAnsi="Times New Roman"/>
          <w:b/>
          <w:bCs/>
          <w:sz w:val="28"/>
          <w:szCs w:val="28"/>
        </w:rPr>
        <w:t>volution</w:t>
      </w:r>
      <w:r w:rsidRPr="00070AB9">
        <w:rPr>
          <w:rFonts w:ascii="Times New Roman" w:hAnsi="Times New Roman"/>
          <w:b/>
          <w:bCs/>
          <w:sz w:val="28"/>
          <w:szCs w:val="28"/>
        </w:rPr>
        <w:t xml:space="preserve"> </w:t>
      </w:r>
      <w:proofErr w:type="gramStart"/>
      <w:r w:rsidR="000E4DE0" w:rsidRPr="00070AB9">
        <w:rPr>
          <w:rFonts w:ascii="Times New Roman" w:hAnsi="Times New Roman"/>
          <w:b/>
          <w:bCs/>
          <w:sz w:val="28"/>
          <w:szCs w:val="28"/>
        </w:rPr>
        <w:t>O</w:t>
      </w:r>
      <w:r w:rsidR="00070AB9" w:rsidRPr="00070AB9">
        <w:rPr>
          <w:rFonts w:ascii="Times New Roman" w:hAnsi="Times New Roman"/>
          <w:b/>
          <w:bCs/>
          <w:sz w:val="28"/>
          <w:szCs w:val="28"/>
        </w:rPr>
        <w:t>f</w:t>
      </w:r>
      <w:proofErr w:type="gramEnd"/>
      <w:r w:rsidR="000E4DE0" w:rsidRPr="00070AB9">
        <w:rPr>
          <w:rFonts w:ascii="Times New Roman" w:hAnsi="Times New Roman"/>
          <w:b/>
          <w:bCs/>
          <w:sz w:val="28"/>
          <w:szCs w:val="28"/>
        </w:rPr>
        <w:t xml:space="preserve"> </w:t>
      </w:r>
      <w:r w:rsidRPr="00070AB9">
        <w:rPr>
          <w:rFonts w:ascii="Times New Roman" w:hAnsi="Times New Roman"/>
          <w:b/>
          <w:bCs/>
          <w:sz w:val="28"/>
          <w:szCs w:val="28"/>
        </w:rPr>
        <w:t>Consumer Goods in the Data Economy: A Winning Model For Creating Value</w:t>
      </w:r>
    </w:p>
    <w:p w14:paraId="667D4664" w14:textId="77777777" w:rsidR="00925823" w:rsidRPr="00070AB9" w:rsidRDefault="00925823" w:rsidP="00070AB9">
      <w:pPr>
        <w:pStyle w:val="OBEBibliography"/>
        <w:jc w:val="center"/>
        <w:rPr>
          <w:rFonts w:ascii="Times New Roman" w:hAnsi="Times New Roman"/>
          <w:b/>
          <w:bCs/>
          <w:sz w:val="28"/>
          <w:szCs w:val="28"/>
        </w:rPr>
      </w:pPr>
    </w:p>
    <w:p w14:paraId="4C918E14" w14:textId="20EDFD02" w:rsidR="00F23837" w:rsidRPr="00070AB9" w:rsidRDefault="00B62610" w:rsidP="00070AB9">
      <w:pPr>
        <w:pStyle w:val="OBEBibliography"/>
        <w:jc w:val="center"/>
        <w:rPr>
          <w:rFonts w:ascii="Times New Roman" w:hAnsi="Times New Roman"/>
          <w:b/>
          <w:bCs/>
          <w:sz w:val="28"/>
          <w:szCs w:val="28"/>
        </w:rPr>
      </w:pPr>
      <w:r w:rsidRPr="00070AB9">
        <w:rPr>
          <w:rFonts w:ascii="Times New Roman" w:hAnsi="Times New Roman"/>
          <w:b/>
          <w:bCs/>
          <w:sz w:val="28"/>
          <w:szCs w:val="28"/>
        </w:rPr>
        <w:br w:type="page"/>
      </w:r>
    </w:p>
    <w:p w14:paraId="650FF9FC" w14:textId="153FCF29" w:rsidR="002D07A2" w:rsidRPr="00070AB9" w:rsidRDefault="002D07A2" w:rsidP="002C4DE3">
      <w:pPr>
        <w:rPr>
          <w:rFonts w:ascii="Times New Roman" w:hAnsi="Times New Roman" w:cs="Times New Roman"/>
          <w:b/>
          <w:bCs/>
          <w:color w:val="000000" w:themeColor="text1"/>
        </w:rPr>
      </w:pPr>
    </w:p>
    <w:p w14:paraId="4BFB0E4B" w14:textId="0C6D416B" w:rsidR="002D07A2" w:rsidRPr="00070AB9" w:rsidRDefault="002D07A2" w:rsidP="002C4DE3">
      <w:pPr>
        <w:rPr>
          <w:rFonts w:ascii="Times New Roman" w:hAnsi="Times New Roman" w:cs="Times New Roman"/>
          <w:color w:val="000000" w:themeColor="text1"/>
        </w:rPr>
      </w:pPr>
    </w:p>
    <w:p w14:paraId="7B96764B"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The rise of information and communication technologies is affecting business life significantly. As leading examples, some new sectors emerge by merging technology and business like fintech, where financial services and technological progress are used together. As another important development, the widespread use of social media empowered consumers greatly relative to brands. Consumers </w:t>
      </w:r>
      <w:proofErr w:type="gramStart"/>
      <w:r w:rsidRPr="00070AB9">
        <w:rPr>
          <w:rFonts w:ascii="Times New Roman" w:hAnsi="Times New Roman" w:cs="Times New Roman"/>
          <w:color w:val="000000" w:themeColor="text1"/>
        </w:rPr>
        <w:t>are able to</w:t>
      </w:r>
      <w:proofErr w:type="gramEnd"/>
      <w:r w:rsidRPr="00070AB9">
        <w:rPr>
          <w:rFonts w:ascii="Times New Roman" w:hAnsi="Times New Roman" w:cs="Times New Roman"/>
          <w:color w:val="000000" w:themeColor="text1"/>
        </w:rPr>
        <w:t xml:space="preserve"> produce information, reviews, and ratings on brands, thereby affecting the brand image and purchase behaviours. As a response to such developments, the businesses should also devise detailed strategies on how they incorporate technology in their operations and how they contain possible risks. The current research examines these issues within the context of the consumer goods sector and the data economy. </w:t>
      </w:r>
    </w:p>
    <w:p w14:paraId="56451694"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The first part of the research provides some rationale and discussion on the topic. It is noted that the consumer goods sector is a very dynamic segment of household expenditures. Especially, the fast-moving consumer goods have a very dynamic market with new trends. One of the most important trends in the last decade has been the digitalisation of many business aspects. The relevant consumer studies show that people use digital channels extensively to collect information about consumer goods </w:t>
      </w:r>
      <w:proofErr w:type="gramStart"/>
      <w:r w:rsidRPr="00070AB9">
        <w:rPr>
          <w:rFonts w:ascii="Times New Roman" w:hAnsi="Times New Roman" w:cs="Times New Roman"/>
          <w:color w:val="000000" w:themeColor="text1"/>
        </w:rPr>
        <w:t>and also</w:t>
      </w:r>
      <w:proofErr w:type="gramEnd"/>
      <w:r w:rsidRPr="00070AB9">
        <w:rPr>
          <w:rFonts w:ascii="Times New Roman" w:hAnsi="Times New Roman" w:cs="Times New Roman"/>
          <w:color w:val="000000" w:themeColor="text1"/>
        </w:rPr>
        <w:t xml:space="preserve"> to make online purchases (Deloitte, 2020). The rise of information and communication technologies (like online shopping, brand loyalty cards, and digital payments) leads to extensive accumulation of real-time data. In this context, the brands would be able to collect the relevant consumer data, process it analytical ways, and use the results in the creation of new strategies. However, the literature also shows that the consumer goods sector has been relatively slow in adopting such technologies (Strong, 2014). One structural barrier in the consumer goods sector has been the limited ability of brands to interact with consumers. In other words, the retailers (whether brick and mortar or online) intermediate the relationship between consumers and brands, and in the </w:t>
      </w:r>
      <w:proofErr w:type="gramStart"/>
      <w:r w:rsidRPr="00070AB9">
        <w:rPr>
          <w:rFonts w:ascii="Times New Roman" w:hAnsi="Times New Roman" w:cs="Times New Roman"/>
          <w:color w:val="000000" w:themeColor="text1"/>
        </w:rPr>
        <w:t>process</w:t>
      </w:r>
      <w:proofErr w:type="gramEnd"/>
      <w:r w:rsidRPr="00070AB9">
        <w:rPr>
          <w:rFonts w:ascii="Times New Roman" w:hAnsi="Times New Roman" w:cs="Times New Roman"/>
          <w:color w:val="000000" w:themeColor="text1"/>
        </w:rPr>
        <w:t xml:space="preserve"> they can collect vast amounts of valuable data to use in their strategies. As brands have limited access to such data, their ability to conduct big data analysis can be limited. The current research examines this question and investigates a winning model for value creation in the consumer goods sector within the data economy context. </w:t>
      </w:r>
    </w:p>
    <w:p w14:paraId="33800502"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The second part provides a detailed review of the research topic from both academic sources and business reports. For example, Let’s Nurture (n.d.) notes that digitalization is one of the </w:t>
      </w:r>
      <w:r w:rsidRPr="00070AB9">
        <w:rPr>
          <w:rFonts w:ascii="Times New Roman" w:hAnsi="Times New Roman" w:cs="Times New Roman"/>
          <w:color w:val="000000" w:themeColor="text1"/>
        </w:rPr>
        <w:lastRenderedPageBreak/>
        <w:t xml:space="preserve">strongest trends for consumer goods and especially fast-moving consumer goods (FMCG). More than half of the global population is using smartphones and around a quarter of the world’s population purchase items using online channels. One very promising area within the digital consumer goods sector is the utilisation of the augmented reality (AR). A report by KPMG (2018) also examines the recent trend in the packaged consumer goods sector. The report argues that to stay competitive and continue to grow, firms in this sector should integrate clear digital strategies into their business models. In this context, the data analysis stands out as an important capability for companies. Specifically, KPMG (2018) states that “For companies to embrace a digital future, they need to get number crunching to make sense of the plethora of data collected day-on-day. The application of data and analytics should not only apply to one segment of the organisation – it is critical to make sense of information across the whole business to gain insights, and empower every employee to make decisions based on these” (p.10). So, these studies show the importance of data analytics. </w:t>
      </w:r>
    </w:p>
    <w:p w14:paraId="514CDE04"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The academic studies show that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emerges as a feasible strategy for the sector. One way for the brands to overcome the above restrictions and to form direct relationships with their clients is the creating of services around their brands (Baines and Lightfoot, 2014; Lee et al., 2016). This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offers various benefits like stable income stream, higher margins, and more efficient customer relations. But the capture of consumer data like personal information and purchase properties is another crucial factor in the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of consumer goods products. </w:t>
      </w:r>
    </w:p>
    <w:p w14:paraId="0CEE1374"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Based on these discussions, the results section presents the findings from the quantitative analysis and qualitative discussions. Quantitative results such as these confirm the expectations that demand (like GDP growth and unemployment rate) and confidence (like consumer confidence index) factors are important for the consumer goods sector. As the last part of the quantitative analysis, OLS regression models are estimated to check the multivariate relationships for the consumer goods categories. GDP is the most significant variable, and it has a positive association with economic growth. The coefficient implies that one percentage points increase in GDP growth is associated with an increase of 0.26 percentage points in the growth rate of the consumer goods. In addition, one percentage points decline in the unemployment rate is associated with a 0.41 percentage points increase in the consumer goods growth rate. Lastly, higher levels of consumer confidence index are also positively associated </w:t>
      </w:r>
      <w:r w:rsidRPr="00070AB9">
        <w:rPr>
          <w:rFonts w:ascii="Times New Roman" w:hAnsi="Times New Roman" w:cs="Times New Roman"/>
          <w:color w:val="000000" w:themeColor="text1"/>
        </w:rPr>
        <w:lastRenderedPageBreak/>
        <w:t xml:space="preserve">with higher growth for consumer goods. Then, qualitative analysis finds that increasing the level of engagement with customers through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of consumer goods is an important strategy to increase the competitive advantage of companies. In this way, brands can collect very detailed information on personal characteristics and purchase behaviours. Once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allows the greater access of brands to their consumers, the firms should also devise effective big data mechanisms to use the new information efficiently.</w:t>
      </w:r>
    </w:p>
    <w:p w14:paraId="246CEE02" w14:textId="77777777" w:rsidR="000E4DE0" w:rsidRPr="00070AB9" w:rsidRDefault="000E4DE0" w:rsidP="000E4DE0">
      <w:pPr>
        <w:pStyle w:val="OBEBody"/>
        <w:rPr>
          <w:rFonts w:ascii="Times New Roman" w:hAnsi="Times New Roman" w:cs="Times New Roman"/>
          <w:color w:val="000000" w:themeColor="text1"/>
        </w:rPr>
      </w:pPr>
      <w:r w:rsidRPr="00070AB9">
        <w:rPr>
          <w:rFonts w:ascii="Times New Roman" w:hAnsi="Times New Roman" w:cs="Times New Roman"/>
          <w:color w:val="000000" w:themeColor="text1"/>
        </w:rPr>
        <w:t xml:space="preserve">Overall, the correlation and regression analyses showed that GDP and consumer confidence affected the sector positively, whereas the unemployment rate affected it negatively. Then, the qualitative discussions showed that two strategies of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of the consumer products and the establishment of big data analytics are the most feasible strategies to create value for the sector and brands.  The study can be extended in terms of examining more detailed consumer goods categories and by creating primary data for the perspectives of consumers and brands. In this way, additional and more robust evidence can be obtained on the relevance of the proposed model of </w:t>
      </w:r>
      <w:proofErr w:type="spellStart"/>
      <w:r w:rsidRPr="00070AB9">
        <w:rPr>
          <w:rFonts w:ascii="Times New Roman" w:hAnsi="Times New Roman" w:cs="Times New Roman"/>
          <w:color w:val="000000" w:themeColor="text1"/>
        </w:rPr>
        <w:t>servitisation</w:t>
      </w:r>
      <w:proofErr w:type="spellEnd"/>
      <w:r w:rsidRPr="00070AB9">
        <w:rPr>
          <w:rFonts w:ascii="Times New Roman" w:hAnsi="Times New Roman" w:cs="Times New Roman"/>
          <w:color w:val="000000" w:themeColor="text1"/>
        </w:rPr>
        <w:t xml:space="preserve"> and big data analytics.  </w:t>
      </w:r>
    </w:p>
    <w:p w14:paraId="5D2E27BD" w14:textId="77777777" w:rsidR="000E4DE0" w:rsidRPr="00070AB9" w:rsidRDefault="000E4DE0" w:rsidP="002D07A2">
      <w:pPr>
        <w:jc w:val="center"/>
        <w:rPr>
          <w:rFonts w:ascii="Times New Roman" w:hAnsi="Times New Roman" w:cs="Times New Roman"/>
          <w:b/>
          <w:bCs/>
          <w:color w:val="000000" w:themeColor="text1"/>
        </w:rPr>
      </w:pPr>
    </w:p>
    <w:p w14:paraId="6B70B1FD" w14:textId="77777777" w:rsidR="000E4DE0" w:rsidRPr="00070AB9" w:rsidRDefault="000E4DE0" w:rsidP="002D07A2">
      <w:pPr>
        <w:jc w:val="center"/>
        <w:rPr>
          <w:rFonts w:ascii="Times New Roman" w:hAnsi="Times New Roman" w:cs="Times New Roman"/>
          <w:b/>
          <w:bCs/>
          <w:color w:val="000000" w:themeColor="text1"/>
        </w:rPr>
      </w:pPr>
    </w:p>
    <w:p w14:paraId="24C82F80" w14:textId="77777777" w:rsidR="000E4DE0" w:rsidRPr="00070AB9" w:rsidRDefault="000E4DE0" w:rsidP="002D07A2">
      <w:pPr>
        <w:jc w:val="center"/>
        <w:rPr>
          <w:rFonts w:ascii="Times New Roman" w:hAnsi="Times New Roman" w:cs="Times New Roman"/>
          <w:b/>
          <w:bCs/>
          <w:color w:val="000000" w:themeColor="text1"/>
        </w:rPr>
      </w:pPr>
    </w:p>
    <w:p w14:paraId="6EB684DC" w14:textId="77777777" w:rsidR="000E4DE0" w:rsidRPr="00070AB9" w:rsidRDefault="000E4DE0" w:rsidP="002D07A2">
      <w:pPr>
        <w:jc w:val="center"/>
        <w:rPr>
          <w:rFonts w:ascii="Times New Roman" w:hAnsi="Times New Roman" w:cs="Times New Roman"/>
          <w:b/>
          <w:bCs/>
          <w:color w:val="000000" w:themeColor="text1"/>
        </w:rPr>
      </w:pPr>
    </w:p>
    <w:p w14:paraId="7453D071" w14:textId="77777777" w:rsidR="000E4DE0" w:rsidRPr="00070AB9" w:rsidRDefault="000E4DE0" w:rsidP="002D07A2">
      <w:pPr>
        <w:jc w:val="center"/>
        <w:rPr>
          <w:rFonts w:ascii="Times New Roman" w:hAnsi="Times New Roman" w:cs="Times New Roman"/>
          <w:b/>
          <w:bCs/>
          <w:color w:val="000000" w:themeColor="text1"/>
        </w:rPr>
      </w:pPr>
    </w:p>
    <w:p w14:paraId="4E10A3E0" w14:textId="77777777" w:rsidR="000E4DE0" w:rsidRPr="00070AB9" w:rsidRDefault="000E4DE0" w:rsidP="002D07A2">
      <w:pPr>
        <w:jc w:val="center"/>
        <w:rPr>
          <w:rFonts w:ascii="Times New Roman" w:hAnsi="Times New Roman" w:cs="Times New Roman"/>
          <w:b/>
          <w:bCs/>
          <w:color w:val="000000" w:themeColor="text1"/>
        </w:rPr>
      </w:pPr>
    </w:p>
    <w:p w14:paraId="10070079" w14:textId="77777777" w:rsidR="000E4DE0" w:rsidRPr="00070AB9" w:rsidRDefault="000E4DE0" w:rsidP="002D07A2">
      <w:pPr>
        <w:jc w:val="center"/>
        <w:rPr>
          <w:rFonts w:ascii="Times New Roman" w:hAnsi="Times New Roman" w:cs="Times New Roman"/>
          <w:b/>
          <w:bCs/>
          <w:color w:val="000000" w:themeColor="text1"/>
        </w:rPr>
      </w:pPr>
    </w:p>
    <w:p w14:paraId="4B847CF1" w14:textId="77777777" w:rsidR="000E4DE0" w:rsidRPr="00070AB9" w:rsidRDefault="000E4DE0" w:rsidP="002D07A2">
      <w:pPr>
        <w:jc w:val="center"/>
        <w:rPr>
          <w:rFonts w:ascii="Times New Roman" w:hAnsi="Times New Roman" w:cs="Times New Roman"/>
          <w:b/>
          <w:bCs/>
          <w:color w:val="000000" w:themeColor="text1"/>
        </w:rPr>
      </w:pPr>
    </w:p>
    <w:p w14:paraId="5F2C647B" w14:textId="77AD9467" w:rsidR="000E4DE0" w:rsidRDefault="000E4DE0" w:rsidP="002D07A2">
      <w:pPr>
        <w:jc w:val="center"/>
        <w:rPr>
          <w:rFonts w:ascii="Times New Roman" w:hAnsi="Times New Roman" w:cs="Times New Roman"/>
          <w:b/>
          <w:bCs/>
          <w:color w:val="000000" w:themeColor="text1"/>
        </w:rPr>
      </w:pPr>
    </w:p>
    <w:p w14:paraId="592320BD" w14:textId="33ABCD1A" w:rsidR="00070AB9" w:rsidRDefault="00070AB9" w:rsidP="002D07A2">
      <w:pPr>
        <w:jc w:val="center"/>
        <w:rPr>
          <w:rFonts w:ascii="Times New Roman" w:hAnsi="Times New Roman" w:cs="Times New Roman"/>
          <w:b/>
          <w:bCs/>
          <w:color w:val="000000" w:themeColor="text1"/>
        </w:rPr>
      </w:pPr>
    </w:p>
    <w:p w14:paraId="60E81B23" w14:textId="77777777" w:rsidR="00070AB9" w:rsidRPr="00070AB9" w:rsidRDefault="00070AB9" w:rsidP="002D07A2">
      <w:pPr>
        <w:jc w:val="center"/>
        <w:rPr>
          <w:rFonts w:ascii="Times New Roman" w:hAnsi="Times New Roman" w:cs="Times New Roman"/>
          <w:b/>
          <w:bCs/>
          <w:color w:val="000000" w:themeColor="text1"/>
        </w:rPr>
      </w:pPr>
    </w:p>
    <w:p w14:paraId="3912AD5D" w14:textId="77777777" w:rsidR="000E4DE0" w:rsidRPr="00070AB9" w:rsidRDefault="000E4DE0" w:rsidP="002D07A2">
      <w:pPr>
        <w:jc w:val="center"/>
        <w:rPr>
          <w:rFonts w:ascii="Times New Roman" w:hAnsi="Times New Roman" w:cs="Times New Roman"/>
          <w:b/>
          <w:bCs/>
          <w:color w:val="000000" w:themeColor="text1"/>
        </w:rPr>
      </w:pPr>
    </w:p>
    <w:p w14:paraId="382EBBB9" w14:textId="77777777" w:rsidR="00070AB9" w:rsidRDefault="00070AB9" w:rsidP="002D07A2">
      <w:pPr>
        <w:jc w:val="center"/>
        <w:rPr>
          <w:rFonts w:ascii="Times New Roman" w:hAnsi="Times New Roman" w:cs="Times New Roman"/>
          <w:b/>
          <w:bCs/>
          <w:color w:val="000000" w:themeColor="text1"/>
        </w:rPr>
      </w:pPr>
    </w:p>
    <w:p w14:paraId="1FC85EC2" w14:textId="77777777" w:rsidR="00070AB9" w:rsidRDefault="00070AB9" w:rsidP="002D07A2">
      <w:pPr>
        <w:jc w:val="center"/>
        <w:rPr>
          <w:rFonts w:ascii="Times New Roman" w:hAnsi="Times New Roman" w:cs="Times New Roman"/>
          <w:b/>
          <w:bCs/>
          <w:color w:val="000000" w:themeColor="text1"/>
        </w:rPr>
      </w:pPr>
    </w:p>
    <w:p w14:paraId="33A69B08" w14:textId="77777777" w:rsidR="00070AB9" w:rsidRDefault="00070AB9" w:rsidP="002D07A2">
      <w:pPr>
        <w:jc w:val="center"/>
        <w:rPr>
          <w:rFonts w:ascii="Times New Roman" w:hAnsi="Times New Roman" w:cs="Times New Roman"/>
          <w:b/>
          <w:bCs/>
          <w:color w:val="000000" w:themeColor="text1"/>
        </w:rPr>
      </w:pPr>
    </w:p>
    <w:p w14:paraId="39643363" w14:textId="77777777" w:rsidR="00070AB9" w:rsidRDefault="00070AB9" w:rsidP="002D07A2">
      <w:pPr>
        <w:jc w:val="center"/>
        <w:rPr>
          <w:rFonts w:ascii="Times New Roman" w:hAnsi="Times New Roman" w:cs="Times New Roman"/>
          <w:b/>
          <w:bCs/>
          <w:color w:val="000000" w:themeColor="text1"/>
        </w:rPr>
      </w:pPr>
    </w:p>
    <w:p w14:paraId="3C96112B" w14:textId="5414221F" w:rsidR="002D07A2" w:rsidRDefault="002D07A2" w:rsidP="002D07A2">
      <w:pPr>
        <w:jc w:val="center"/>
        <w:rPr>
          <w:rFonts w:ascii="Times New Roman" w:hAnsi="Times New Roman" w:cs="Times New Roman"/>
          <w:b/>
          <w:bCs/>
          <w:color w:val="000000" w:themeColor="text1"/>
        </w:rPr>
      </w:pPr>
      <w:r w:rsidRPr="00070AB9">
        <w:rPr>
          <w:rFonts w:ascii="Times New Roman" w:hAnsi="Times New Roman" w:cs="Times New Roman"/>
          <w:b/>
          <w:bCs/>
          <w:color w:val="000000" w:themeColor="text1"/>
        </w:rPr>
        <w:lastRenderedPageBreak/>
        <w:t>Abstract</w:t>
      </w:r>
    </w:p>
    <w:p w14:paraId="236DF234" w14:textId="77777777" w:rsidR="00070AB9" w:rsidRPr="00070AB9" w:rsidRDefault="00070AB9" w:rsidP="002D07A2">
      <w:pPr>
        <w:jc w:val="center"/>
        <w:rPr>
          <w:rFonts w:ascii="Times New Roman" w:hAnsi="Times New Roman" w:cs="Times New Roman"/>
          <w:b/>
          <w:bCs/>
          <w:color w:val="000000" w:themeColor="text1"/>
        </w:rPr>
      </w:pPr>
    </w:p>
    <w:p w14:paraId="3ADCB578" w14:textId="11F8016A" w:rsidR="002D07A2" w:rsidRPr="00070AB9" w:rsidRDefault="002D07A2" w:rsidP="002D07A2">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The research examines the relevance of the data economy for the consumer goods sector and aims to derive a winning model of value creation. A major structural barrier in this sector restricting the direct relationship of brands and consumers has been the intermediary role of retailers. The retailers use extensive consumer data in terms of personal information and purchasing behaviours. However, due to access problems, brands are not able to implement such strategies. Therefore, the winning model should try to eliminate this barrier and create direct links between the brands and consumers. This research conducts quantitative data analysis using macroeconomic data for the case of the UK, along with a qualitative analysis of the literature to arrive at a model. The quantitative analysis shows that in the UK, the consumer goods sector displayed a growth rate very close to the GDP growth. However, there have been significant differences between sub-categories. Clothing and footwear displayed very large growth rates, while the size of the alcohol and tobacco sector declined in the last two decades. The correlation and regression analyses showed that GDP and consumer confidence affected the sector positively, whereas the unemployment rate affected it negatively. Then, the qualitative discussions showed that two strategies of </w:t>
      </w:r>
      <w:proofErr w:type="spellStart"/>
      <w:r w:rsidRPr="00070AB9">
        <w:rPr>
          <w:rFonts w:ascii="Times New Roman" w:eastAsia="Calibri" w:hAnsi="Times New Roman" w:cs="Times New Roman"/>
          <w:color w:val="000000" w:themeColor="text1"/>
          <w:kern w:val="2"/>
          <w:shd w:val="clear" w:color="auto" w:fill="FFFFFF"/>
        </w:rPr>
        <w:t>servitisation</w:t>
      </w:r>
      <w:proofErr w:type="spellEnd"/>
      <w:r w:rsidRPr="00070AB9">
        <w:rPr>
          <w:rFonts w:ascii="Times New Roman" w:eastAsia="Calibri" w:hAnsi="Times New Roman" w:cs="Times New Roman"/>
          <w:color w:val="000000" w:themeColor="text1"/>
          <w:kern w:val="2"/>
          <w:shd w:val="clear" w:color="auto" w:fill="FFFFFF"/>
        </w:rPr>
        <w:t xml:space="preserve"> of the consumer products and the establishment of big data analytics are the most feasible strategies to create value for the sector and brands. </w:t>
      </w:r>
    </w:p>
    <w:p w14:paraId="1865CFDE" w14:textId="77777777" w:rsidR="002D07A2" w:rsidRPr="00070AB9" w:rsidRDefault="002D07A2" w:rsidP="002C4DE3">
      <w:pPr>
        <w:rPr>
          <w:rFonts w:ascii="Times New Roman" w:hAnsi="Times New Roman" w:cs="Times New Roman"/>
          <w:b/>
          <w:bCs/>
          <w:color w:val="000000" w:themeColor="text1"/>
        </w:rPr>
      </w:pPr>
    </w:p>
    <w:p w14:paraId="32E6CFB5" w14:textId="0EE0DE74" w:rsidR="002D07A2" w:rsidRPr="00070AB9" w:rsidRDefault="002D07A2" w:rsidP="002C4DE3">
      <w:pPr>
        <w:rPr>
          <w:rFonts w:ascii="Times New Roman" w:hAnsi="Times New Roman" w:cs="Times New Roman"/>
          <w:b/>
          <w:bCs/>
          <w:color w:val="000000" w:themeColor="text1"/>
        </w:rPr>
      </w:pPr>
    </w:p>
    <w:p w14:paraId="63C2C667" w14:textId="43FAB054" w:rsidR="002D07A2" w:rsidRPr="00070AB9" w:rsidRDefault="002D07A2" w:rsidP="002C4DE3">
      <w:pPr>
        <w:rPr>
          <w:rFonts w:ascii="Times New Roman" w:hAnsi="Times New Roman" w:cs="Times New Roman"/>
          <w:b/>
          <w:bCs/>
          <w:color w:val="000000" w:themeColor="text1"/>
        </w:rPr>
      </w:pPr>
    </w:p>
    <w:p w14:paraId="034B5352" w14:textId="26316B04" w:rsidR="002D07A2" w:rsidRPr="00070AB9" w:rsidRDefault="002D07A2" w:rsidP="002C4DE3">
      <w:pPr>
        <w:rPr>
          <w:rFonts w:ascii="Times New Roman" w:hAnsi="Times New Roman" w:cs="Times New Roman"/>
          <w:b/>
          <w:bCs/>
          <w:color w:val="000000" w:themeColor="text1"/>
        </w:rPr>
      </w:pPr>
    </w:p>
    <w:p w14:paraId="50E3434E" w14:textId="0EA7CCD2" w:rsidR="002D07A2" w:rsidRPr="00070AB9" w:rsidRDefault="002D07A2" w:rsidP="002C4DE3">
      <w:pPr>
        <w:rPr>
          <w:rFonts w:ascii="Times New Roman" w:hAnsi="Times New Roman" w:cs="Times New Roman"/>
          <w:b/>
          <w:bCs/>
          <w:color w:val="000000" w:themeColor="text1"/>
        </w:rPr>
      </w:pPr>
    </w:p>
    <w:p w14:paraId="566942AB" w14:textId="1F2F84AC" w:rsidR="000E4DE0" w:rsidRPr="00070AB9" w:rsidRDefault="000E4DE0" w:rsidP="002C4DE3">
      <w:pPr>
        <w:rPr>
          <w:rFonts w:ascii="Times New Roman" w:hAnsi="Times New Roman" w:cs="Times New Roman"/>
          <w:b/>
          <w:bCs/>
          <w:color w:val="000000" w:themeColor="text1"/>
        </w:rPr>
      </w:pPr>
    </w:p>
    <w:p w14:paraId="7D017932" w14:textId="3C9374A4" w:rsidR="000E4DE0" w:rsidRPr="00070AB9" w:rsidRDefault="000E4DE0" w:rsidP="002C4DE3">
      <w:pPr>
        <w:rPr>
          <w:rFonts w:ascii="Times New Roman" w:hAnsi="Times New Roman" w:cs="Times New Roman"/>
          <w:b/>
          <w:bCs/>
          <w:color w:val="000000" w:themeColor="text1"/>
        </w:rPr>
      </w:pPr>
    </w:p>
    <w:p w14:paraId="7FEE8C9E" w14:textId="77777777" w:rsidR="000E4DE0" w:rsidRPr="00070AB9" w:rsidRDefault="000E4DE0" w:rsidP="002C4DE3">
      <w:pPr>
        <w:rPr>
          <w:rFonts w:ascii="Times New Roman" w:hAnsi="Times New Roman" w:cs="Times New Roman"/>
          <w:b/>
          <w:bCs/>
          <w:color w:val="000000" w:themeColor="text1"/>
        </w:rPr>
      </w:pPr>
    </w:p>
    <w:p w14:paraId="28A9346E" w14:textId="34ABCA5E" w:rsidR="002A4246" w:rsidRPr="00070AB9" w:rsidRDefault="002A4246" w:rsidP="002C4DE3">
      <w:pPr>
        <w:rPr>
          <w:rFonts w:ascii="Times New Roman" w:hAnsi="Times New Roman" w:cs="Times New Roman"/>
          <w:b/>
          <w:bCs/>
          <w:color w:val="000000" w:themeColor="text1"/>
        </w:rPr>
      </w:pPr>
    </w:p>
    <w:p w14:paraId="3D7F4A0C" w14:textId="77777777" w:rsidR="002A4246" w:rsidRPr="00070AB9" w:rsidRDefault="002A4246" w:rsidP="002C4DE3">
      <w:pPr>
        <w:rPr>
          <w:rFonts w:ascii="Times New Roman" w:hAnsi="Times New Roman" w:cs="Times New Roman"/>
          <w:b/>
          <w:bCs/>
          <w:color w:val="000000" w:themeColor="text1"/>
        </w:rPr>
      </w:pPr>
    </w:p>
    <w:p w14:paraId="0AE6C5AA" w14:textId="77777777" w:rsidR="00070AB9" w:rsidRDefault="00070AB9" w:rsidP="005F2FB1">
      <w:pPr>
        <w:pStyle w:val="OBETITLE"/>
        <w:rPr>
          <w:rStyle w:val="OBETITLEChar"/>
          <w:rFonts w:ascii="Times New Roman" w:hAnsi="Times New Roman" w:cs="Times New Roman"/>
          <w:b/>
          <w:bCs/>
          <w:caps/>
          <w:color w:val="000000" w:themeColor="text1"/>
          <w:sz w:val="28"/>
          <w:szCs w:val="28"/>
        </w:rPr>
      </w:pPr>
    </w:p>
    <w:p w14:paraId="4980A52A" w14:textId="4BF180CB" w:rsidR="0040231E" w:rsidRPr="00070AB9" w:rsidRDefault="005F2FB1" w:rsidP="005F2FB1">
      <w:pPr>
        <w:pStyle w:val="OBETITLE"/>
        <w:rPr>
          <w:rFonts w:ascii="Times New Roman" w:hAnsi="Times New Roman" w:cs="Times New Roman"/>
          <w:b/>
          <w:bCs/>
          <w:color w:val="000000" w:themeColor="text1"/>
          <w:sz w:val="28"/>
          <w:szCs w:val="28"/>
        </w:rPr>
      </w:pPr>
      <w:r w:rsidRPr="00070AB9">
        <w:rPr>
          <w:rStyle w:val="OBETITLEChar"/>
          <w:rFonts w:ascii="Times New Roman" w:hAnsi="Times New Roman" w:cs="Times New Roman"/>
          <w:b/>
          <w:bCs/>
          <w:caps/>
          <w:color w:val="000000" w:themeColor="text1"/>
          <w:sz w:val="28"/>
          <w:szCs w:val="28"/>
        </w:rPr>
        <w:lastRenderedPageBreak/>
        <w:t>The Future for Consumer Goods in the</w:t>
      </w:r>
      <w:r w:rsidRPr="00070AB9">
        <w:rPr>
          <w:rFonts w:ascii="Times New Roman" w:hAnsi="Times New Roman" w:cs="Times New Roman"/>
          <w:b/>
          <w:bCs/>
          <w:color w:val="000000" w:themeColor="text1"/>
          <w:sz w:val="28"/>
          <w:szCs w:val="28"/>
        </w:rPr>
        <w:t xml:space="preserve"> Data Economy: A Winning Model For Creating Value</w:t>
      </w:r>
    </w:p>
    <w:p w14:paraId="6DBB4008" w14:textId="77777777" w:rsidR="000E4DE0" w:rsidRPr="00070AB9" w:rsidRDefault="000E4DE0" w:rsidP="005F2FB1">
      <w:pPr>
        <w:pStyle w:val="OBETITLE"/>
        <w:rPr>
          <w:rFonts w:ascii="Times New Roman" w:hAnsi="Times New Roman" w:cs="Times New Roman"/>
          <w:b/>
          <w:bCs/>
          <w:color w:val="000000" w:themeColor="text1"/>
        </w:rPr>
      </w:pPr>
    </w:p>
    <w:p w14:paraId="6F4C669D" w14:textId="5239BD09" w:rsidR="00470244" w:rsidRDefault="005F2FB1" w:rsidP="00F34B03">
      <w:pPr>
        <w:pStyle w:val="OBESubtitle1sttier"/>
        <w:numPr>
          <w:ilvl w:val="0"/>
          <w:numId w:val="16"/>
        </w:numPr>
        <w:rPr>
          <w:rFonts w:ascii="Times New Roman" w:hAnsi="Times New Roman" w:cs="Times New Roman"/>
          <w:b/>
          <w:bCs/>
          <w:color w:val="000000" w:themeColor="text1"/>
          <w:sz w:val="28"/>
          <w:szCs w:val="28"/>
        </w:rPr>
      </w:pPr>
      <w:r w:rsidRPr="00070AB9">
        <w:rPr>
          <w:rFonts w:ascii="Times New Roman" w:hAnsi="Times New Roman" w:cs="Times New Roman"/>
          <w:b/>
          <w:bCs/>
          <w:color w:val="000000" w:themeColor="text1"/>
          <w:sz w:val="28"/>
          <w:szCs w:val="28"/>
        </w:rPr>
        <w:t>Introduction</w:t>
      </w:r>
    </w:p>
    <w:p w14:paraId="0C15D78B" w14:textId="77777777" w:rsidR="00070AB9" w:rsidRPr="00070AB9" w:rsidRDefault="00070AB9" w:rsidP="00070AB9">
      <w:pPr>
        <w:pStyle w:val="OBESubtitle1sttier"/>
        <w:rPr>
          <w:rFonts w:ascii="Times New Roman" w:hAnsi="Times New Roman" w:cs="Times New Roman"/>
          <w:b/>
          <w:bCs/>
          <w:color w:val="000000" w:themeColor="text1"/>
          <w:sz w:val="28"/>
          <w:szCs w:val="28"/>
        </w:rPr>
      </w:pPr>
    </w:p>
    <w:p w14:paraId="56B24948" w14:textId="09DE7086" w:rsidR="00E639F1" w:rsidRPr="00070AB9" w:rsidRDefault="00A276BE" w:rsidP="005F2FB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The consumer goods sector is a very dynamic segment of household expenditures. E</w:t>
      </w:r>
      <w:r w:rsidR="0058645B" w:rsidRPr="00070AB9">
        <w:rPr>
          <w:rFonts w:ascii="Times New Roman" w:hAnsi="Times New Roman" w:cs="Times New Roman"/>
          <w:color w:val="000000" w:themeColor="text1"/>
          <w:shd w:val="clear" w:color="auto" w:fill="FFFFFF"/>
        </w:rPr>
        <w:t xml:space="preserve">specially, </w:t>
      </w:r>
      <w:r w:rsidR="004A656D" w:rsidRPr="00070AB9">
        <w:rPr>
          <w:rFonts w:ascii="Times New Roman" w:hAnsi="Times New Roman" w:cs="Times New Roman"/>
          <w:color w:val="000000" w:themeColor="text1"/>
          <w:shd w:val="clear" w:color="auto" w:fill="FFFFFF"/>
        </w:rPr>
        <w:t xml:space="preserve">the fast-moving consumer goods </w:t>
      </w:r>
      <w:r w:rsidR="00231EC0" w:rsidRPr="00070AB9">
        <w:rPr>
          <w:rFonts w:ascii="Times New Roman" w:hAnsi="Times New Roman" w:cs="Times New Roman"/>
          <w:color w:val="000000" w:themeColor="text1"/>
          <w:shd w:val="clear" w:color="auto" w:fill="FFFFFF"/>
        </w:rPr>
        <w:t xml:space="preserve">have a very dynamic market with new trends. One of the most important </w:t>
      </w:r>
      <w:r w:rsidR="009A6E1B" w:rsidRPr="00070AB9">
        <w:rPr>
          <w:rFonts w:ascii="Times New Roman" w:hAnsi="Times New Roman" w:cs="Times New Roman"/>
          <w:color w:val="000000" w:themeColor="text1"/>
          <w:shd w:val="clear" w:color="auto" w:fill="FFFFFF"/>
        </w:rPr>
        <w:t xml:space="preserve">trends in the last decade has been the digitalisation of many business aspects. The relevant consumer studies show that people use digital channels extensively to collect information about consumer goods </w:t>
      </w:r>
      <w:proofErr w:type="gramStart"/>
      <w:r w:rsidR="009A6E1B" w:rsidRPr="00070AB9">
        <w:rPr>
          <w:rFonts w:ascii="Times New Roman" w:hAnsi="Times New Roman" w:cs="Times New Roman"/>
          <w:color w:val="000000" w:themeColor="text1"/>
          <w:shd w:val="clear" w:color="auto" w:fill="FFFFFF"/>
        </w:rPr>
        <w:t>and also</w:t>
      </w:r>
      <w:proofErr w:type="gramEnd"/>
      <w:r w:rsidR="009A6E1B" w:rsidRPr="00070AB9">
        <w:rPr>
          <w:rFonts w:ascii="Times New Roman" w:hAnsi="Times New Roman" w:cs="Times New Roman"/>
          <w:color w:val="000000" w:themeColor="text1"/>
          <w:shd w:val="clear" w:color="auto" w:fill="FFFFFF"/>
        </w:rPr>
        <w:t xml:space="preserve"> to make online purchases</w:t>
      </w:r>
      <w:r w:rsidR="0050422F" w:rsidRPr="00070AB9">
        <w:rPr>
          <w:rFonts w:ascii="Times New Roman" w:hAnsi="Times New Roman" w:cs="Times New Roman"/>
          <w:color w:val="000000" w:themeColor="text1"/>
          <w:shd w:val="clear" w:color="auto" w:fill="FFFFFF"/>
        </w:rPr>
        <w:t xml:space="preserve"> (Deloitte, 2020)</w:t>
      </w:r>
      <w:r w:rsidR="009A6E1B" w:rsidRPr="00070AB9">
        <w:rPr>
          <w:rFonts w:ascii="Times New Roman" w:hAnsi="Times New Roman" w:cs="Times New Roman"/>
          <w:color w:val="000000" w:themeColor="text1"/>
          <w:shd w:val="clear" w:color="auto" w:fill="FFFFFF"/>
        </w:rPr>
        <w:t xml:space="preserve">. </w:t>
      </w:r>
      <w:r w:rsidR="00412BBF" w:rsidRPr="00070AB9">
        <w:rPr>
          <w:rFonts w:ascii="Times New Roman" w:hAnsi="Times New Roman" w:cs="Times New Roman"/>
          <w:color w:val="000000" w:themeColor="text1"/>
          <w:shd w:val="clear" w:color="auto" w:fill="FFFFFF"/>
        </w:rPr>
        <w:t xml:space="preserve">The rise of information and communication technologies (like online shopping, brand loyalty cards, and digital payments) leads to extensive accumulation of real-time data. </w:t>
      </w:r>
      <w:r w:rsidR="001F2CA9" w:rsidRPr="00070AB9">
        <w:rPr>
          <w:rFonts w:ascii="Times New Roman" w:hAnsi="Times New Roman" w:cs="Times New Roman"/>
          <w:color w:val="000000" w:themeColor="text1"/>
          <w:shd w:val="clear" w:color="auto" w:fill="FFFFFF"/>
        </w:rPr>
        <w:t xml:space="preserve">In this context, the brands would be able to collect the relevant consumer data, process it analytical ways, and use the results in the creation of new strategies. </w:t>
      </w:r>
      <w:r w:rsidR="008054FE" w:rsidRPr="00070AB9">
        <w:rPr>
          <w:rFonts w:ascii="Times New Roman" w:hAnsi="Times New Roman" w:cs="Times New Roman"/>
          <w:color w:val="000000" w:themeColor="text1"/>
          <w:shd w:val="clear" w:color="auto" w:fill="FFFFFF"/>
        </w:rPr>
        <w:t>However, the literature also shows that the consumer</w:t>
      </w:r>
      <w:r w:rsidR="00DC6FDF" w:rsidRPr="00070AB9">
        <w:rPr>
          <w:rFonts w:ascii="Times New Roman" w:hAnsi="Times New Roman" w:cs="Times New Roman"/>
          <w:color w:val="000000" w:themeColor="text1"/>
          <w:shd w:val="clear" w:color="auto" w:fill="FFFFFF"/>
        </w:rPr>
        <w:t xml:space="preserve"> goods sector has been relatively slow in adopting such technologies. </w:t>
      </w:r>
      <w:r w:rsidR="00AD21E8" w:rsidRPr="00070AB9">
        <w:rPr>
          <w:rFonts w:ascii="Times New Roman" w:hAnsi="Times New Roman" w:cs="Times New Roman"/>
          <w:color w:val="000000" w:themeColor="text1"/>
          <w:shd w:val="clear" w:color="auto" w:fill="FFFFFF"/>
        </w:rPr>
        <w:t xml:space="preserve">One structural barrier in the consumer goods sector has been the limited ability of brands to interact with consumers. In other words, the retailers (whether brick and mortar or online) intermediate the relationship between consumers and </w:t>
      </w:r>
      <w:r w:rsidR="00285684" w:rsidRPr="00070AB9">
        <w:rPr>
          <w:rFonts w:ascii="Times New Roman" w:hAnsi="Times New Roman" w:cs="Times New Roman"/>
          <w:color w:val="000000" w:themeColor="text1"/>
          <w:shd w:val="clear" w:color="auto" w:fill="FFFFFF"/>
        </w:rPr>
        <w:t xml:space="preserve">brands, and in the </w:t>
      </w:r>
      <w:proofErr w:type="gramStart"/>
      <w:r w:rsidR="00285684" w:rsidRPr="00070AB9">
        <w:rPr>
          <w:rFonts w:ascii="Times New Roman" w:hAnsi="Times New Roman" w:cs="Times New Roman"/>
          <w:color w:val="000000" w:themeColor="text1"/>
          <w:shd w:val="clear" w:color="auto" w:fill="FFFFFF"/>
        </w:rPr>
        <w:t>process</w:t>
      </w:r>
      <w:proofErr w:type="gramEnd"/>
      <w:r w:rsidR="00285684" w:rsidRPr="00070AB9">
        <w:rPr>
          <w:rFonts w:ascii="Times New Roman" w:hAnsi="Times New Roman" w:cs="Times New Roman"/>
          <w:color w:val="000000" w:themeColor="text1"/>
          <w:shd w:val="clear" w:color="auto" w:fill="FFFFFF"/>
        </w:rPr>
        <w:t xml:space="preserve"> they can collect vast amounts of valuable data to use in their strategies. As brands have limited access to such data, their ability </w:t>
      </w:r>
      <w:r w:rsidR="00A92743" w:rsidRPr="00070AB9">
        <w:rPr>
          <w:rFonts w:ascii="Times New Roman" w:hAnsi="Times New Roman" w:cs="Times New Roman"/>
          <w:color w:val="000000" w:themeColor="text1"/>
          <w:shd w:val="clear" w:color="auto" w:fill="FFFFFF"/>
        </w:rPr>
        <w:t>to conduct</w:t>
      </w:r>
      <w:r w:rsidR="00285684" w:rsidRPr="00070AB9">
        <w:rPr>
          <w:rFonts w:ascii="Times New Roman" w:hAnsi="Times New Roman" w:cs="Times New Roman"/>
          <w:color w:val="000000" w:themeColor="text1"/>
          <w:shd w:val="clear" w:color="auto" w:fill="FFFFFF"/>
        </w:rPr>
        <w:t xml:space="preserve"> big data analysis can be limited. The current research examines this question and investigate</w:t>
      </w:r>
      <w:r w:rsidR="00A92743" w:rsidRPr="00070AB9">
        <w:rPr>
          <w:rFonts w:ascii="Times New Roman" w:hAnsi="Times New Roman" w:cs="Times New Roman"/>
          <w:color w:val="000000" w:themeColor="text1"/>
          <w:shd w:val="clear" w:color="auto" w:fill="FFFFFF"/>
        </w:rPr>
        <w:t>s a</w:t>
      </w:r>
      <w:r w:rsidR="00285684" w:rsidRPr="00070AB9">
        <w:rPr>
          <w:rFonts w:ascii="Times New Roman" w:hAnsi="Times New Roman" w:cs="Times New Roman"/>
          <w:color w:val="000000" w:themeColor="text1"/>
          <w:shd w:val="clear" w:color="auto" w:fill="FFFFFF"/>
        </w:rPr>
        <w:t xml:space="preserve"> winning model for value creation in </w:t>
      </w:r>
      <w:r w:rsidR="00C66EE0" w:rsidRPr="00070AB9">
        <w:rPr>
          <w:rFonts w:ascii="Times New Roman" w:hAnsi="Times New Roman" w:cs="Times New Roman"/>
          <w:color w:val="000000" w:themeColor="text1"/>
          <w:shd w:val="clear" w:color="auto" w:fill="FFFFFF"/>
        </w:rPr>
        <w:t xml:space="preserve">the </w:t>
      </w:r>
      <w:r w:rsidR="00285684" w:rsidRPr="00070AB9">
        <w:rPr>
          <w:rFonts w:ascii="Times New Roman" w:hAnsi="Times New Roman" w:cs="Times New Roman"/>
          <w:color w:val="000000" w:themeColor="text1"/>
          <w:shd w:val="clear" w:color="auto" w:fill="FFFFFF"/>
        </w:rPr>
        <w:t xml:space="preserve">consumer goods sector within the data economy context. </w:t>
      </w:r>
    </w:p>
    <w:p w14:paraId="7CB35073" w14:textId="2AC9CFF1" w:rsidR="00466E56" w:rsidRPr="00070AB9" w:rsidRDefault="00B23BEC" w:rsidP="005F2FB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In order to the relevance of the data economy for the consumer goods sector, the research proceeds using two methods. One is the quant</w:t>
      </w:r>
      <w:r w:rsidR="008062AB" w:rsidRPr="00070AB9">
        <w:rPr>
          <w:rFonts w:ascii="Times New Roman" w:hAnsi="Times New Roman" w:cs="Times New Roman"/>
          <w:color w:val="000000" w:themeColor="text1"/>
          <w:shd w:val="clear" w:color="auto" w:fill="FFFFFF"/>
        </w:rPr>
        <w:t>itati</w:t>
      </w:r>
      <w:r w:rsidRPr="00070AB9">
        <w:rPr>
          <w:rFonts w:ascii="Times New Roman" w:hAnsi="Times New Roman" w:cs="Times New Roman"/>
          <w:color w:val="000000" w:themeColor="text1"/>
          <w:shd w:val="clear" w:color="auto" w:fill="FFFFFF"/>
        </w:rPr>
        <w:t>ve approach where the macroeconomic data on the consumer goods categories is examined using summary statistics, cross</w:t>
      </w:r>
      <w:r w:rsidR="008062AB" w:rsidRPr="00070AB9">
        <w:rPr>
          <w:rFonts w:ascii="Times New Roman" w:hAnsi="Times New Roman" w:cs="Times New Roman"/>
          <w:color w:val="000000" w:themeColor="text1"/>
          <w:shd w:val="clear" w:color="auto" w:fill="FFFFFF"/>
        </w:rPr>
        <w:t>-</w:t>
      </w:r>
      <w:r w:rsidRPr="00070AB9">
        <w:rPr>
          <w:rFonts w:ascii="Times New Roman" w:hAnsi="Times New Roman" w:cs="Times New Roman"/>
          <w:color w:val="000000" w:themeColor="text1"/>
          <w:shd w:val="clear" w:color="auto" w:fill="FFFFFF"/>
        </w:rPr>
        <w:t xml:space="preserve">correlations, and </w:t>
      </w:r>
      <w:r w:rsidR="008062AB" w:rsidRPr="00070AB9">
        <w:rPr>
          <w:rFonts w:ascii="Times New Roman" w:hAnsi="Times New Roman" w:cs="Times New Roman"/>
          <w:color w:val="000000" w:themeColor="text1"/>
          <w:shd w:val="clear" w:color="auto" w:fill="FFFFFF"/>
        </w:rPr>
        <w:t xml:space="preserve">regression analysis. The other is a qualitative analysis of the existing secondary research to offer some perspectives on the </w:t>
      </w:r>
      <w:r w:rsidR="00E3379C" w:rsidRPr="00070AB9">
        <w:rPr>
          <w:rFonts w:ascii="Times New Roman" w:hAnsi="Times New Roman" w:cs="Times New Roman"/>
          <w:color w:val="000000" w:themeColor="text1"/>
          <w:shd w:val="clear" w:color="auto" w:fill="FFFFFF"/>
        </w:rPr>
        <w:t xml:space="preserve">possible strategies to improve </w:t>
      </w:r>
      <w:r w:rsidR="005845C3" w:rsidRPr="00070AB9">
        <w:rPr>
          <w:rFonts w:ascii="Times New Roman" w:hAnsi="Times New Roman" w:cs="Times New Roman"/>
          <w:color w:val="000000" w:themeColor="text1"/>
          <w:shd w:val="clear" w:color="auto" w:fill="FFFFFF"/>
        </w:rPr>
        <w:t xml:space="preserve">the </w:t>
      </w:r>
      <w:r w:rsidR="00E3379C" w:rsidRPr="00070AB9">
        <w:rPr>
          <w:rFonts w:ascii="Times New Roman" w:hAnsi="Times New Roman" w:cs="Times New Roman"/>
          <w:color w:val="000000" w:themeColor="text1"/>
          <w:shd w:val="clear" w:color="auto" w:fill="FFFFFF"/>
        </w:rPr>
        <w:t xml:space="preserve">competitive advantage of consumer goods brands using big data analytics. </w:t>
      </w:r>
      <w:r w:rsidR="005845C3" w:rsidRPr="00070AB9">
        <w:rPr>
          <w:rFonts w:ascii="Times New Roman" w:hAnsi="Times New Roman" w:cs="Times New Roman"/>
          <w:color w:val="000000" w:themeColor="text1"/>
          <w:shd w:val="clear" w:color="auto" w:fill="FFFFFF"/>
        </w:rPr>
        <w:t xml:space="preserve">Towards these research objectives, the current research is structured as follows. The second chapter provides a literature review of the topic. It specifically focuses on the characteristics and dynamics of the consumer goods sector and </w:t>
      </w:r>
      <w:r w:rsidR="005845C3" w:rsidRPr="00070AB9">
        <w:rPr>
          <w:rFonts w:ascii="Times New Roman" w:hAnsi="Times New Roman" w:cs="Times New Roman"/>
          <w:color w:val="000000" w:themeColor="text1"/>
          <w:shd w:val="clear" w:color="auto" w:fill="FFFFFF"/>
        </w:rPr>
        <w:lastRenderedPageBreak/>
        <w:t>then examines the g</w:t>
      </w:r>
      <w:r w:rsidR="00322395" w:rsidRPr="00070AB9">
        <w:rPr>
          <w:rFonts w:ascii="Times New Roman" w:hAnsi="Times New Roman" w:cs="Times New Roman"/>
          <w:color w:val="000000" w:themeColor="text1"/>
          <w:shd w:val="clear" w:color="auto" w:fill="FFFFFF"/>
        </w:rPr>
        <w:t>r</w:t>
      </w:r>
      <w:r w:rsidR="005845C3" w:rsidRPr="00070AB9">
        <w:rPr>
          <w:rFonts w:ascii="Times New Roman" w:hAnsi="Times New Roman" w:cs="Times New Roman"/>
          <w:color w:val="000000" w:themeColor="text1"/>
          <w:shd w:val="clear" w:color="auto" w:fill="FFFFFF"/>
        </w:rPr>
        <w:t xml:space="preserve">owing field of </w:t>
      </w:r>
      <w:r w:rsidR="00322395" w:rsidRPr="00070AB9">
        <w:rPr>
          <w:rFonts w:ascii="Times New Roman" w:hAnsi="Times New Roman" w:cs="Times New Roman"/>
          <w:color w:val="000000" w:themeColor="text1"/>
          <w:shd w:val="clear" w:color="auto" w:fill="FFFFFF"/>
        </w:rPr>
        <w:t xml:space="preserve">the </w:t>
      </w:r>
      <w:r w:rsidR="005845C3" w:rsidRPr="00070AB9">
        <w:rPr>
          <w:rFonts w:ascii="Times New Roman" w:hAnsi="Times New Roman" w:cs="Times New Roman"/>
          <w:color w:val="000000" w:themeColor="text1"/>
          <w:shd w:val="clear" w:color="auto" w:fill="FFFFFF"/>
        </w:rPr>
        <w:t xml:space="preserve">data economy. This information is used to </w:t>
      </w:r>
      <w:r w:rsidR="00322395" w:rsidRPr="00070AB9">
        <w:rPr>
          <w:rFonts w:ascii="Times New Roman" w:hAnsi="Times New Roman" w:cs="Times New Roman"/>
          <w:color w:val="000000" w:themeColor="text1"/>
          <w:shd w:val="clear" w:color="auto" w:fill="FFFFFF"/>
        </w:rPr>
        <w:t xml:space="preserve">combine the data economy and </w:t>
      </w:r>
      <w:r w:rsidR="00EC0195" w:rsidRPr="00070AB9">
        <w:rPr>
          <w:rFonts w:ascii="Times New Roman" w:hAnsi="Times New Roman" w:cs="Times New Roman"/>
          <w:color w:val="000000" w:themeColor="text1"/>
          <w:shd w:val="clear" w:color="auto" w:fill="FFFFFF"/>
        </w:rPr>
        <w:t xml:space="preserve">the consumer goods sector. Then, the third chapter </w:t>
      </w:r>
      <w:r w:rsidR="004B5A15" w:rsidRPr="00070AB9">
        <w:rPr>
          <w:rFonts w:ascii="Times New Roman" w:hAnsi="Times New Roman" w:cs="Times New Roman"/>
          <w:color w:val="000000" w:themeColor="text1"/>
          <w:shd w:val="clear" w:color="auto" w:fill="FFFFFF"/>
        </w:rPr>
        <w:t xml:space="preserve">presents the research methodology followed in the study. The results are presented in the fourth chapter in terms of quantitative analysis and qualitative discussions. </w:t>
      </w:r>
      <w:r w:rsidR="009E2A2C" w:rsidRPr="00070AB9">
        <w:rPr>
          <w:rFonts w:ascii="Times New Roman" w:hAnsi="Times New Roman" w:cs="Times New Roman"/>
          <w:color w:val="000000" w:themeColor="text1"/>
          <w:shd w:val="clear" w:color="auto" w:fill="FFFFFF"/>
        </w:rPr>
        <w:t xml:space="preserve">Finally, the last chapter concludes the analysis. </w:t>
      </w:r>
    </w:p>
    <w:p w14:paraId="749BCF86" w14:textId="6A01B119" w:rsidR="00070AB9" w:rsidRPr="00070AB9" w:rsidRDefault="00466E56" w:rsidP="00070AB9">
      <w:pPr>
        <w:pStyle w:val="OBESubtitle1sttier"/>
        <w:numPr>
          <w:ilvl w:val="0"/>
          <w:numId w:val="16"/>
        </w:numPr>
        <w:rPr>
          <w:rFonts w:ascii="Times New Roman" w:hAnsi="Times New Roman" w:cs="Times New Roman"/>
          <w:b/>
          <w:bCs/>
          <w:color w:val="000000" w:themeColor="text1"/>
          <w:sz w:val="28"/>
          <w:szCs w:val="28"/>
          <w:shd w:val="clear" w:color="auto" w:fill="FFFFFF"/>
        </w:rPr>
      </w:pPr>
      <w:r w:rsidRPr="00070AB9">
        <w:rPr>
          <w:rFonts w:ascii="Times New Roman" w:hAnsi="Times New Roman" w:cs="Times New Roman"/>
          <w:b/>
          <w:bCs/>
          <w:color w:val="000000" w:themeColor="text1"/>
          <w:sz w:val="28"/>
          <w:szCs w:val="28"/>
          <w:shd w:val="clear" w:color="auto" w:fill="FFFFFF"/>
        </w:rPr>
        <w:t>Literature Review</w:t>
      </w:r>
    </w:p>
    <w:p w14:paraId="2194E864" w14:textId="2D1B6CFC" w:rsidR="00466E56" w:rsidRPr="00070AB9" w:rsidRDefault="00D369B3" w:rsidP="005F2FB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Consumer goods refer to a small portion of household final consumption expenditures. In the UK, the GDP was £2,090 billion in 2019</w:t>
      </w:r>
      <w:r w:rsidR="005501B6" w:rsidRPr="00070AB9">
        <w:rPr>
          <w:rFonts w:ascii="Times New Roman" w:hAnsi="Times New Roman" w:cs="Times New Roman"/>
          <w:color w:val="000000" w:themeColor="text1"/>
          <w:shd w:val="clear" w:color="auto" w:fill="FFFFFF"/>
        </w:rPr>
        <w:t xml:space="preserve"> (ONS, 2020a)</w:t>
      </w:r>
      <w:r w:rsidRPr="00070AB9">
        <w:rPr>
          <w:rFonts w:ascii="Times New Roman" w:hAnsi="Times New Roman" w:cs="Times New Roman"/>
          <w:color w:val="000000" w:themeColor="text1"/>
          <w:shd w:val="clear" w:color="auto" w:fill="FFFFFF"/>
        </w:rPr>
        <w:t>. The largest GDP item is the household final consumption expenditures. In the same year, the consumption expenditures were £1,318 billion, or 63% of GDP. Within the household final consumption expenditures, there are categories of net tourism, food and drink, alcohol, tobacco and narcotics,</w:t>
      </w:r>
      <w:r w:rsidR="00D170F8" w:rsidRPr="00070AB9">
        <w:rPr>
          <w:rFonts w:ascii="Times New Roman" w:hAnsi="Times New Roman" w:cs="Times New Roman"/>
          <w:color w:val="000000" w:themeColor="text1"/>
          <w:shd w:val="clear" w:color="auto" w:fill="FFFFFF"/>
        </w:rPr>
        <w:t xml:space="preserve"> </w:t>
      </w:r>
      <w:r w:rsidRPr="00070AB9">
        <w:rPr>
          <w:rFonts w:ascii="Times New Roman" w:hAnsi="Times New Roman" w:cs="Times New Roman"/>
          <w:color w:val="000000" w:themeColor="text1"/>
          <w:shd w:val="clear" w:color="auto" w:fill="FFFFFF"/>
        </w:rPr>
        <w:t xml:space="preserve">clothing </w:t>
      </w:r>
      <w:r w:rsidR="00D170F8" w:rsidRPr="00070AB9">
        <w:rPr>
          <w:rFonts w:ascii="Times New Roman" w:hAnsi="Times New Roman" w:cs="Times New Roman"/>
          <w:color w:val="000000" w:themeColor="text1"/>
          <w:shd w:val="clear" w:color="auto" w:fill="FFFFFF"/>
        </w:rPr>
        <w:t>a</w:t>
      </w:r>
      <w:r w:rsidRPr="00070AB9">
        <w:rPr>
          <w:rFonts w:ascii="Times New Roman" w:hAnsi="Times New Roman" w:cs="Times New Roman"/>
          <w:color w:val="000000" w:themeColor="text1"/>
          <w:shd w:val="clear" w:color="auto" w:fill="FFFFFF"/>
        </w:rPr>
        <w:t>nd footwear, housing, furnishings, household equipment and routine maintenance of the house, health,</w:t>
      </w:r>
      <w:r w:rsidRPr="00070AB9">
        <w:rPr>
          <w:rFonts w:ascii="Times New Roman" w:hAnsi="Times New Roman" w:cs="Times New Roman"/>
          <w:color w:val="000000" w:themeColor="text1"/>
          <w:shd w:val="clear" w:color="auto" w:fill="FFFFFF"/>
        </w:rPr>
        <w:tab/>
        <w:t>transport, communication, recreation and culture,</w:t>
      </w:r>
      <w:r w:rsidRPr="00070AB9">
        <w:rPr>
          <w:rFonts w:ascii="Times New Roman" w:hAnsi="Times New Roman" w:cs="Times New Roman"/>
          <w:color w:val="000000" w:themeColor="text1"/>
          <w:shd w:val="clear" w:color="auto" w:fill="FFFFFF"/>
        </w:rPr>
        <w:tab/>
        <w:t>education,</w:t>
      </w:r>
      <w:r w:rsidR="00D501B2" w:rsidRPr="00070AB9">
        <w:rPr>
          <w:rFonts w:ascii="Times New Roman" w:hAnsi="Times New Roman" w:cs="Times New Roman"/>
          <w:color w:val="000000" w:themeColor="text1"/>
          <w:shd w:val="clear" w:color="auto" w:fill="FFFFFF"/>
        </w:rPr>
        <w:t xml:space="preserve"> </w:t>
      </w:r>
      <w:r w:rsidRPr="00070AB9">
        <w:rPr>
          <w:rFonts w:ascii="Times New Roman" w:hAnsi="Times New Roman" w:cs="Times New Roman"/>
          <w:color w:val="000000" w:themeColor="text1"/>
          <w:shd w:val="clear" w:color="auto" w:fill="FFFFFF"/>
        </w:rPr>
        <w:t>r</w:t>
      </w:r>
      <w:r w:rsidR="00D501B2" w:rsidRPr="00070AB9">
        <w:rPr>
          <w:rFonts w:ascii="Times New Roman" w:hAnsi="Times New Roman" w:cs="Times New Roman"/>
          <w:color w:val="000000" w:themeColor="text1"/>
          <w:shd w:val="clear" w:color="auto" w:fill="FFFFFF"/>
        </w:rPr>
        <w:t xml:space="preserve">estaurants </w:t>
      </w:r>
      <w:r w:rsidRPr="00070AB9">
        <w:rPr>
          <w:rFonts w:ascii="Times New Roman" w:hAnsi="Times New Roman" w:cs="Times New Roman"/>
          <w:color w:val="000000" w:themeColor="text1"/>
          <w:shd w:val="clear" w:color="auto" w:fill="FFFFFF"/>
        </w:rPr>
        <w:t xml:space="preserve">and hotels, and miscellaneous. </w:t>
      </w:r>
      <w:r w:rsidR="00565331" w:rsidRPr="00070AB9">
        <w:rPr>
          <w:rFonts w:ascii="Times New Roman" w:hAnsi="Times New Roman" w:cs="Times New Roman"/>
          <w:color w:val="000000" w:themeColor="text1"/>
          <w:shd w:val="clear" w:color="auto" w:fill="FFFFFF"/>
        </w:rPr>
        <w:t>Among these categories, the housing expenditure</w:t>
      </w:r>
      <w:r w:rsidR="00F61392" w:rsidRPr="00070AB9">
        <w:rPr>
          <w:rFonts w:ascii="Times New Roman" w:hAnsi="Times New Roman" w:cs="Times New Roman"/>
          <w:color w:val="000000" w:themeColor="text1"/>
          <w:shd w:val="clear" w:color="auto" w:fill="FFFFFF"/>
        </w:rPr>
        <w:t>s</w:t>
      </w:r>
      <w:r w:rsidR="00565331" w:rsidRPr="00070AB9">
        <w:rPr>
          <w:rFonts w:ascii="Times New Roman" w:hAnsi="Times New Roman" w:cs="Times New Roman"/>
          <w:color w:val="000000" w:themeColor="text1"/>
          <w:shd w:val="clear" w:color="auto" w:fill="FFFFFF"/>
        </w:rPr>
        <w:t xml:space="preserve"> constitute the largest item with 25.9% share, followed by miscellaneous with 13.3% share, transportation with 12.8% share, recreation and culture with 11.1% share, and restaurants and hotels with 9% share</w:t>
      </w:r>
      <w:r w:rsidR="00AB237D" w:rsidRPr="00070AB9">
        <w:rPr>
          <w:rFonts w:ascii="Times New Roman" w:hAnsi="Times New Roman" w:cs="Times New Roman"/>
          <w:color w:val="000000" w:themeColor="text1"/>
          <w:shd w:val="clear" w:color="auto" w:fill="FFFFFF"/>
        </w:rPr>
        <w:t xml:space="preserve"> (ONS, 2020</w:t>
      </w:r>
      <w:r w:rsidR="00FA1048" w:rsidRPr="00070AB9">
        <w:rPr>
          <w:rFonts w:ascii="Times New Roman" w:hAnsi="Times New Roman" w:cs="Times New Roman"/>
          <w:color w:val="000000" w:themeColor="text1"/>
          <w:shd w:val="clear" w:color="auto" w:fill="FFFFFF"/>
        </w:rPr>
        <w:t>b</w:t>
      </w:r>
      <w:r w:rsidR="00AB237D" w:rsidRPr="00070AB9">
        <w:rPr>
          <w:rFonts w:ascii="Times New Roman" w:hAnsi="Times New Roman" w:cs="Times New Roman"/>
          <w:color w:val="000000" w:themeColor="text1"/>
          <w:shd w:val="clear" w:color="auto" w:fill="FFFFFF"/>
        </w:rPr>
        <w:t>)</w:t>
      </w:r>
      <w:r w:rsidR="00565331" w:rsidRPr="00070AB9">
        <w:rPr>
          <w:rFonts w:ascii="Times New Roman" w:hAnsi="Times New Roman" w:cs="Times New Roman"/>
          <w:color w:val="000000" w:themeColor="text1"/>
          <w:shd w:val="clear" w:color="auto" w:fill="FFFFFF"/>
        </w:rPr>
        <w:t xml:space="preserve">. </w:t>
      </w:r>
      <w:r w:rsidR="0003415A" w:rsidRPr="00070AB9">
        <w:rPr>
          <w:rFonts w:ascii="Times New Roman" w:hAnsi="Times New Roman" w:cs="Times New Roman"/>
          <w:color w:val="000000" w:themeColor="text1"/>
          <w:shd w:val="clear" w:color="auto" w:fill="FFFFFF"/>
        </w:rPr>
        <w:t xml:space="preserve">It is seen that the largest consumption items for the households are different services ranging from housing to recreation. </w:t>
      </w:r>
      <w:r w:rsidR="00C31C0F" w:rsidRPr="00070AB9">
        <w:rPr>
          <w:rFonts w:ascii="Times New Roman" w:hAnsi="Times New Roman" w:cs="Times New Roman"/>
          <w:color w:val="000000" w:themeColor="text1"/>
          <w:shd w:val="clear" w:color="auto" w:fill="FFFFFF"/>
        </w:rPr>
        <w:t>One can form a narrower category of “consumer goods” within the household expenditures. This category would include the items of “food and drink” with 7.66% share in 2019 in the household final consumption expenditures, “alcohol, tobacco and narcotics” with 3.04% share, “clothing and footwear” with 5.33% share, and “furnishings, household equipment and routine maintenance of the house” with 4.97% share. The category of “miscellaneous goods and services” also include</w:t>
      </w:r>
      <w:r w:rsidR="00F61392" w:rsidRPr="00070AB9">
        <w:rPr>
          <w:rFonts w:ascii="Times New Roman" w:hAnsi="Times New Roman" w:cs="Times New Roman"/>
          <w:color w:val="000000" w:themeColor="text1"/>
          <w:shd w:val="clear" w:color="auto" w:fill="FFFFFF"/>
        </w:rPr>
        <w:t>s</w:t>
      </w:r>
      <w:r w:rsidR="00C31C0F" w:rsidRPr="00070AB9">
        <w:rPr>
          <w:rFonts w:ascii="Times New Roman" w:hAnsi="Times New Roman" w:cs="Times New Roman"/>
          <w:color w:val="000000" w:themeColor="text1"/>
          <w:shd w:val="clear" w:color="auto" w:fill="FFFFFF"/>
        </w:rPr>
        <w:t xml:space="preserve"> some consumer good categories like “Electrical appliances for personal care”</w:t>
      </w:r>
      <w:r w:rsidR="006E02B4" w:rsidRPr="00070AB9">
        <w:rPr>
          <w:rFonts w:ascii="Times New Roman" w:hAnsi="Times New Roman" w:cs="Times New Roman"/>
          <w:color w:val="000000" w:themeColor="text1"/>
          <w:shd w:val="clear" w:color="auto" w:fill="FFFFFF"/>
        </w:rPr>
        <w:t xml:space="preserve"> with 0.19% share in the household final consumption expenditures</w:t>
      </w:r>
      <w:r w:rsidR="00C31C0F" w:rsidRPr="00070AB9">
        <w:rPr>
          <w:rFonts w:ascii="Times New Roman" w:hAnsi="Times New Roman" w:cs="Times New Roman"/>
          <w:color w:val="000000" w:themeColor="text1"/>
          <w:shd w:val="clear" w:color="auto" w:fill="FFFFFF"/>
        </w:rPr>
        <w:t>, “Other appliances, articles and products for personal care”</w:t>
      </w:r>
      <w:r w:rsidR="006E02B4" w:rsidRPr="00070AB9">
        <w:rPr>
          <w:rFonts w:ascii="Times New Roman" w:hAnsi="Times New Roman" w:cs="Times New Roman"/>
          <w:color w:val="000000" w:themeColor="text1"/>
          <w:shd w:val="clear" w:color="auto" w:fill="FFFFFF"/>
        </w:rPr>
        <w:t xml:space="preserve"> with 1.67% share</w:t>
      </w:r>
      <w:r w:rsidR="00C31C0F" w:rsidRPr="00070AB9">
        <w:rPr>
          <w:rFonts w:ascii="Times New Roman" w:hAnsi="Times New Roman" w:cs="Times New Roman"/>
          <w:color w:val="000000" w:themeColor="text1"/>
          <w:shd w:val="clear" w:color="auto" w:fill="FFFFFF"/>
        </w:rPr>
        <w:t>, and “Jewellery clocks and watches”</w:t>
      </w:r>
      <w:r w:rsidR="006E02B4" w:rsidRPr="00070AB9">
        <w:rPr>
          <w:rFonts w:ascii="Times New Roman" w:hAnsi="Times New Roman" w:cs="Times New Roman"/>
          <w:color w:val="000000" w:themeColor="text1"/>
          <w:shd w:val="clear" w:color="auto" w:fill="FFFFFF"/>
        </w:rPr>
        <w:t xml:space="preserve"> with 0.74% share</w:t>
      </w:r>
      <w:r w:rsidR="00C31C0F" w:rsidRPr="00070AB9">
        <w:rPr>
          <w:rFonts w:ascii="Times New Roman" w:hAnsi="Times New Roman" w:cs="Times New Roman"/>
          <w:color w:val="000000" w:themeColor="text1"/>
          <w:shd w:val="clear" w:color="auto" w:fill="FFFFFF"/>
        </w:rPr>
        <w:t xml:space="preserve">. </w:t>
      </w:r>
      <w:r w:rsidR="002F19D3" w:rsidRPr="00070AB9">
        <w:rPr>
          <w:rFonts w:ascii="Times New Roman" w:hAnsi="Times New Roman" w:cs="Times New Roman"/>
          <w:color w:val="000000" w:themeColor="text1"/>
          <w:shd w:val="clear" w:color="auto" w:fill="FFFFFF"/>
        </w:rPr>
        <w:t>When all these categories are combined under the consumer goods classification, their share in the household final consumption expenditures becomes 23.61% in 2019. So, consumer goods constitute less than one</w:t>
      </w:r>
      <w:r w:rsidR="00F61392" w:rsidRPr="00070AB9">
        <w:rPr>
          <w:rFonts w:ascii="Times New Roman" w:hAnsi="Times New Roman" w:cs="Times New Roman"/>
          <w:color w:val="000000" w:themeColor="text1"/>
          <w:shd w:val="clear" w:color="auto" w:fill="FFFFFF"/>
        </w:rPr>
        <w:t>-</w:t>
      </w:r>
      <w:r w:rsidR="002F19D3" w:rsidRPr="00070AB9">
        <w:rPr>
          <w:rFonts w:ascii="Times New Roman" w:hAnsi="Times New Roman" w:cs="Times New Roman"/>
          <w:color w:val="000000" w:themeColor="text1"/>
          <w:shd w:val="clear" w:color="auto" w:fill="FFFFFF"/>
        </w:rPr>
        <w:t xml:space="preserve">quarter of total household expenditures in the UK. </w:t>
      </w:r>
    </w:p>
    <w:p w14:paraId="39B59D5C" w14:textId="7710E479" w:rsidR="00AB237D" w:rsidRPr="00070AB9" w:rsidRDefault="000354DA" w:rsidP="005F2FB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As the consumer goods constitute a major part of the GDP and the household final consumption ex</w:t>
      </w:r>
      <w:r w:rsidR="007C125C" w:rsidRPr="00070AB9">
        <w:rPr>
          <w:rFonts w:ascii="Times New Roman" w:hAnsi="Times New Roman" w:cs="Times New Roman"/>
          <w:color w:val="000000" w:themeColor="text1"/>
          <w:shd w:val="clear" w:color="auto" w:fill="FFFFFF"/>
        </w:rPr>
        <w:t xml:space="preserve">penditures, understanding the characteristics and the dynamics of this sector is important. In </w:t>
      </w:r>
      <w:r w:rsidR="007C125C" w:rsidRPr="00070AB9">
        <w:rPr>
          <w:rFonts w:ascii="Times New Roman" w:hAnsi="Times New Roman" w:cs="Times New Roman"/>
          <w:color w:val="000000" w:themeColor="text1"/>
          <w:shd w:val="clear" w:color="auto" w:fill="FFFFFF"/>
        </w:rPr>
        <w:lastRenderedPageBreak/>
        <w:t>a report by the UK Parliament (2017) for the House of Commons Committee on Exiting the European Union</w:t>
      </w:r>
      <w:r w:rsidR="004849C9" w:rsidRPr="00070AB9">
        <w:rPr>
          <w:rFonts w:ascii="Times New Roman" w:hAnsi="Times New Roman" w:cs="Times New Roman"/>
          <w:color w:val="000000" w:themeColor="text1"/>
          <w:shd w:val="clear" w:color="auto" w:fill="FFFFFF"/>
        </w:rPr>
        <w:t xml:space="preserve"> notes that there </w:t>
      </w:r>
      <w:r w:rsidR="00F61392" w:rsidRPr="00070AB9">
        <w:rPr>
          <w:rFonts w:ascii="Times New Roman" w:hAnsi="Times New Roman" w:cs="Times New Roman"/>
          <w:color w:val="000000" w:themeColor="text1"/>
          <w:shd w:val="clear" w:color="auto" w:fill="FFFFFF"/>
        </w:rPr>
        <w:t>is</w:t>
      </w:r>
      <w:r w:rsidR="004849C9" w:rsidRPr="00070AB9">
        <w:rPr>
          <w:rFonts w:ascii="Times New Roman" w:hAnsi="Times New Roman" w:cs="Times New Roman"/>
          <w:color w:val="000000" w:themeColor="text1"/>
          <w:shd w:val="clear" w:color="auto" w:fill="FFFFFF"/>
        </w:rPr>
        <w:t xml:space="preserve"> significant international trade in the consumer goods in the UK. So,</w:t>
      </w:r>
      <w:r w:rsidR="00F61392" w:rsidRPr="00070AB9">
        <w:rPr>
          <w:rFonts w:ascii="Times New Roman" w:hAnsi="Times New Roman" w:cs="Times New Roman"/>
          <w:color w:val="000000" w:themeColor="text1"/>
          <w:shd w:val="clear" w:color="auto" w:fill="FFFFFF"/>
        </w:rPr>
        <w:t xml:space="preserve"> the domestic market has a dependence on imports of consumer goods. Domestic production is mostly restricted to niche and high-end products. Specifically, UK Parliament (2017) states that “Most UK producers of consumer goods are small, niche, high</w:t>
      </w:r>
      <w:r w:rsidR="002E0B47" w:rsidRPr="00070AB9">
        <w:rPr>
          <w:rFonts w:ascii="Times New Roman" w:hAnsi="Times New Roman" w:cs="Times New Roman"/>
          <w:color w:val="000000" w:themeColor="text1"/>
          <w:shd w:val="clear" w:color="auto" w:fill="FFFFFF"/>
        </w:rPr>
        <w:t>-</w:t>
      </w:r>
      <w:r w:rsidR="00F61392" w:rsidRPr="00070AB9">
        <w:rPr>
          <w:rFonts w:ascii="Times New Roman" w:hAnsi="Times New Roman" w:cs="Times New Roman"/>
          <w:color w:val="000000" w:themeColor="text1"/>
          <w:shd w:val="clear" w:color="auto" w:fill="FFFFFF"/>
        </w:rPr>
        <w:t>end producers, as these have been the most able to withstand international competition from low</w:t>
      </w:r>
      <w:r w:rsidR="002E0B47" w:rsidRPr="00070AB9">
        <w:rPr>
          <w:rFonts w:ascii="Times New Roman" w:hAnsi="Times New Roman" w:cs="Times New Roman"/>
          <w:color w:val="000000" w:themeColor="text1"/>
          <w:shd w:val="clear" w:color="auto" w:fill="FFFFFF"/>
        </w:rPr>
        <w:t>-</w:t>
      </w:r>
      <w:r w:rsidR="00F61392" w:rsidRPr="00070AB9">
        <w:rPr>
          <w:rFonts w:ascii="Times New Roman" w:hAnsi="Times New Roman" w:cs="Times New Roman"/>
          <w:color w:val="000000" w:themeColor="text1"/>
          <w:shd w:val="clear" w:color="auto" w:fill="FFFFFF"/>
        </w:rPr>
        <w:t>cost producers, mainly from Asia and Eastern Europe”</w:t>
      </w:r>
      <w:r w:rsidR="002E0B47" w:rsidRPr="00070AB9">
        <w:rPr>
          <w:rFonts w:ascii="Times New Roman" w:hAnsi="Times New Roman" w:cs="Times New Roman"/>
          <w:color w:val="000000" w:themeColor="text1"/>
          <w:shd w:val="clear" w:color="auto" w:fill="FFFFFF"/>
        </w:rPr>
        <w:t xml:space="preserve"> (p.3). </w:t>
      </w:r>
      <w:r w:rsidR="009974E2" w:rsidRPr="00070AB9">
        <w:rPr>
          <w:rFonts w:ascii="Times New Roman" w:hAnsi="Times New Roman" w:cs="Times New Roman"/>
          <w:color w:val="000000" w:themeColor="text1"/>
          <w:shd w:val="clear" w:color="auto" w:fill="FFFFFF"/>
        </w:rPr>
        <w:t xml:space="preserve">The report also examines market characteristics. For example, it is found that there are low concentration and </w:t>
      </w:r>
      <w:proofErr w:type="gramStart"/>
      <w:r w:rsidR="009974E2" w:rsidRPr="00070AB9">
        <w:rPr>
          <w:rFonts w:ascii="Times New Roman" w:hAnsi="Times New Roman" w:cs="Times New Roman"/>
          <w:color w:val="000000" w:themeColor="text1"/>
          <w:shd w:val="clear" w:color="auto" w:fill="FFFFFF"/>
        </w:rPr>
        <w:t>a large number of</w:t>
      </w:r>
      <w:proofErr w:type="gramEnd"/>
      <w:r w:rsidR="009974E2" w:rsidRPr="00070AB9">
        <w:rPr>
          <w:rFonts w:ascii="Times New Roman" w:hAnsi="Times New Roman" w:cs="Times New Roman"/>
          <w:color w:val="000000" w:themeColor="text1"/>
          <w:shd w:val="clear" w:color="auto" w:fill="FFFFFF"/>
        </w:rPr>
        <w:t xml:space="preserve"> companies in most consumer good categories. In the furniture manufacturing sector, the top four largest firms account</w:t>
      </w:r>
      <w:r w:rsidR="00635E82" w:rsidRPr="00070AB9">
        <w:rPr>
          <w:rFonts w:ascii="Times New Roman" w:hAnsi="Times New Roman" w:cs="Times New Roman"/>
          <w:color w:val="000000" w:themeColor="text1"/>
          <w:shd w:val="clear" w:color="auto" w:fill="FFFFFF"/>
        </w:rPr>
        <w:t xml:space="preserve"> for</w:t>
      </w:r>
      <w:r w:rsidR="009974E2" w:rsidRPr="00070AB9">
        <w:rPr>
          <w:rFonts w:ascii="Times New Roman" w:hAnsi="Times New Roman" w:cs="Times New Roman"/>
          <w:color w:val="000000" w:themeColor="text1"/>
          <w:shd w:val="clear" w:color="auto" w:fill="FFFFFF"/>
        </w:rPr>
        <w:t xml:space="preserve"> less than 10% of the sector, while in the textile manufacturing sector, the top four largest companies have a share of around 13%. The report estimates that there are close to 17 thousand employers in the consumer goods sector, while this number increases to more than 57 thousand if sole-traders and unregistered businesses are included. </w:t>
      </w:r>
      <w:r w:rsidR="004C7D94" w:rsidRPr="00070AB9">
        <w:rPr>
          <w:rFonts w:ascii="Times New Roman" w:hAnsi="Times New Roman" w:cs="Times New Roman"/>
          <w:color w:val="000000" w:themeColor="text1"/>
          <w:shd w:val="clear" w:color="auto" w:fill="FFFFFF"/>
        </w:rPr>
        <w:t>The report also shows some numbers o</w:t>
      </w:r>
      <w:r w:rsidR="002051C4" w:rsidRPr="00070AB9">
        <w:rPr>
          <w:rFonts w:ascii="Times New Roman" w:hAnsi="Times New Roman" w:cs="Times New Roman"/>
          <w:color w:val="000000" w:themeColor="text1"/>
          <w:shd w:val="clear" w:color="auto" w:fill="FFFFFF"/>
        </w:rPr>
        <w:t>f</w:t>
      </w:r>
      <w:r w:rsidR="004C7D94" w:rsidRPr="00070AB9">
        <w:rPr>
          <w:rFonts w:ascii="Times New Roman" w:hAnsi="Times New Roman" w:cs="Times New Roman"/>
          <w:color w:val="000000" w:themeColor="text1"/>
          <w:shd w:val="clear" w:color="auto" w:fill="FFFFFF"/>
        </w:rPr>
        <w:t xml:space="preserve"> import dependence. For example, </w:t>
      </w:r>
      <w:r w:rsidR="00866B0B" w:rsidRPr="00070AB9">
        <w:rPr>
          <w:rFonts w:ascii="Times New Roman" w:hAnsi="Times New Roman" w:cs="Times New Roman"/>
          <w:color w:val="000000" w:themeColor="text1"/>
          <w:shd w:val="clear" w:color="auto" w:fill="FFFFFF"/>
        </w:rPr>
        <w:t xml:space="preserve">61% of domestic demand for textiles is satisfied by imports. This ratio is </w:t>
      </w:r>
      <w:r w:rsidR="00454D3C" w:rsidRPr="00070AB9">
        <w:rPr>
          <w:rFonts w:ascii="Times New Roman" w:hAnsi="Times New Roman" w:cs="Times New Roman"/>
          <w:color w:val="000000" w:themeColor="text1"/>
          <w:shd w:val="clear" w:color="auto" w:fill="FFFFFF"/>
        </w:rPr>
        <w:t xml:space="preserve">lowest for furniture with 41% but very high for leather and related products with 96% and for wearing apparel with 98%. </w:t>
      </w:r>
      <w:r w:rsidR="007E126F" w:rsidRPr="00070AB9">
        <w:rPr>
          <w:rFonts w:ascii="Times New Roman" w:hAnsi="Times New Roman" w:cs="Times New Roman"/>
          <w:color w:val="000000" w:themeColor="text1"/>
          <w:shd w:val="clear" w:color="auto" w:fill="FFFFFF"/>
        </w:rPr>
        <w:t xml:space="preserve">Then, it can be argued that importers and retailers are the main players in the consumer goods sector, with producers playing a more limited role. </w:t>
      </w:r>
      <w:r w:rsidR="00D74384" w:rsidRPr="00070AB9">
        <w:rPr>
          <w:rFonts w:ascii="Times New Roman" w:hAnsi="Times New Roman" w:cs="Times New Roman"/>
          <w:color w:val="000000" w:themeColor="text1"/>
          <w:shd w:val="clear" w:color="auto" w:fill="FFFFFF"/>
        </w:rPr>
        <w:t xml:space="preserve">In this context, the retailers (like supermarket chains) matter greatly as they are the main players that present consumer goods to the final use of consumers. In addition, online retailing channels have been gaining further importance in the consumer goods sector. </w:t>
      </w:r>
    </w:p>
    <w:p w14:paraId="544F642C" w14:textId="77777777" w:rsidR="0098175D" w:rsidRPr="00070AB9" w:rsidRDefault="0078229B" w:rsidP="00FA7B2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 xml:space="preserve">Given the importance of the consumer goods sector, examining the relevant trends in this sector is also an important research and business topic. </w:t>
      </w:r>
      <w:r w:rsidR="00D74D73" w:rsidRPr="00070AB9">
        <w:rPr>
          <w:rFonts w:ascii="Times New Roman" w:hAnsi="Times New Roman" w:cs="Times New Roman"/>
          <w:color w:val="000000" w:themeColor="text1"/>
          <w:shd w:val="clear" w:color="auto" w:fill="FFFFFF"/>
        </w:rPr>
        <w:t>In this context, there are some business reports that examine the recent developments and trends in the consumer goods sector</w:t>
      </w:r>
      <w:r w:rsidR="008B0A46" w:rsidRPr="00070AB9">
        <w:rPr>
          <w:rFonts w:ascii="Times New Roman" w:hAnsi="Times New Roman" w:cs="Times New Roman"/>
          <w:color w:val="000000" w:themeColor="text1"/>
          <w:shd w:val="clear" w:color="auto" w:fill="FFFFFF"/>
        </w:rPr>
        <w:t xml:space="preserve"> globally and in the UK</w:t>
      </w:r>
      <w:r w:rsidR="00D74D73" w:rsidRPr="00070AB9">
        <w:rPr>
          <w:rFonts w:ascii="Times New Roman" w:hAnsi="Times New Roman" w:cs="Times New Roman"/>
          <w:color w:val="000000" w:themeColor="text1"/>
          <w:shd w:val="clear" w:color="auto" w:fill="FFFFFF"/>
        </w:rPr>
        <w:t xml:space="preserve">. For example, </w:t>
      </w:r>
      <w:r w:rsidR="007D5043" w:rsidRPr="00070AB9">
        <w:rPr>
          <w:rFonts w:ascii="Times New Roman" w:hAnsi="Times New Roman" w:cs="Times New Roman"/>
          <w:color w:val="000000" w:themeColor="text1"/>
          <w:shd w:val="clear" w:color="auto" w:fill="FFFFFF"/>
        </w:rPr>
        <w:t xml:space="preserve">Let’s Nurture (n.d.) notes that digitalization is one </w:t>
      </w:r>
      <w:r w:rsidR="003A5CFC" w:rsidRPr="00070AB9">
        <w:rPr>
          <w:rFonts w:ascii="Times New Roman" w:hAnsi="Times New Roman" w:cs="Times New Roman"/>
          <w:color w:val="000000" w:themeColor="text1"/>
          <w:shd w:val="clear" w:color="auto" w:fill="FFFFFF"/>
        </w:rPr>
        <w:t xml:space="preserve">of </w:t>
      </w:r>
      <w:r w:rsidR="007D5043" w:rsidRPr="00070AB9">
        <w:rPr>
          <w:rFonts w:ascii="Times New Roman" w:hAnsi="Times New Roman" w:cs="Times New Roman"/>
          <w:color w:val="000000" w:themeColor="text1"/>
          <w:shd w:val="clear" w:color="auto" w:fill="FFFFFF"/>
        </w:rPr>
        <w:t>the strongest trends for consumer goods and especially fast-moving consumer goods (FMCG</w:t>
      </w:r>
      <w:r w:rsidR="0019137D" w:rsidRPr="00070AB9">
        <w:rPr>
          <w:rFonts w:ascii="Times New Roman" w:hAnsi="Times New Roman" w:cs="Times New Roman"/>
          <w:color w:val="000000" w:themeColor="text1"/>
          <w:shd w:val="clear" w:color="auto" w:fill="FFFFFF"/>
        </w:rPr>
        <w:t xml:space="preserve">). </w:t>
      </w:r>
      <w:r w:rsidR="002E23DC" w:rsidRPr="00070AB9">
        <w:rPr>
          <w:rFonts w:ascii="Times New Roman" w:hAnsi="Times New Roman" w:cs="Times New Roman"/>
          <w:color w:val="000000" w:themeColor="text1"/>
          <w:shd w:val="clear" w:color="auto" w:fill="FFFFFF"/>
        </w:rPr>
        <w:t xml:space="preserve">More than half of the global population is using smartphones and around a quarter of the world’s population purchase items using online channels. </w:t>
      </w:r>
      <w:r w:rsidR="0051004D" w:rsidRPr="00070AB9">
        <w:rPr>
          <w:rFonts w:ascii="Times New Roman" w:hAnsi="Times New Roman" w:cs="Times New Roman"/>
          <w:color w:val="000000" w:themeColor="text1"/>
          <w:shd w:val="clear" w:color="auto" w:fill="FFFFFF"/>
        </w:rPr>
        <w:t xml:space="preserve">One very promising area within the digital consumer goods sector is the utilisation of the augmented reality (AR). </w:t>
      </w:r>
      <w:r w:rsidR="002937B0" w:rsidRPr="00070AB9">
        <w:rPr>
          <w:rFonts w:ascii="Times New Roman" w:hAnsi="Times New Roman" w:cs="Times New Roman"/>
          <w:color w:val="000000" w:themeColor="text1"/>
          <w:shd w:val="clear" w:color="auto" w:fill="FFFFFF"/>
        </w:rPr>
        <w:t xml:space="preserve">According to this report, AR-based shopping is expected to reach $120 billion in 2020. This technology has some advantages in the context of online shopping as it provides some comfort and ease of shopping and </w:t>
      </w:r>
      <w:r w:rsidR="002937B0" w:rsidRPr="00070AB9">
        <w:rPr>
          <w:rFonts w:ascii="Times New Roman" w:hAnsi="Times New Roman" w:cs="Times New Roman"/>
          <w:color w:val="000000" w:themeColor="text1"/>
          <w:shd w:val="clear" w:color="auto" w:fill="FFFFFF"/>
        </w:rPr>
        <w:lastRenderedPageBreak/>
        <w:t>improve</w:t>
      </w:r>
      <w:r w:rsidR="0049255D" w:rsidRPr="00070AB9">
        <w:rPr>
          <w:rFonts w:ascii="Times New Roman" w:hAnsi="Times New Roman" w:cs="Times New Roman"/>
          <w:color w:val="000000" w:themeColor="text1"/>
          <w:shd w:val="clear" w:color="auto" w:fill="FFFFFF"/>
        </w:rPr>
        <w:t>s</w:t>
      </w:r>
      <w:r w:rsidR="002937B0" w:rsidRPr="00070AB9">
        <w:rPr>
          <w:rFonts w:ascii="Times New Roman" w:hAnsi="Times New Roman" w:cs="Times New Roman"/>
          <w:color w:val="000000" w:themeColor="text1"/>
          <w:shd w:val="clear" w:color="auto" w:fill="FFFFFF"/>
        </w:rPr>
        <w:t xml:space="preserve"> the shopping experience of online consumers. In addition, it has a great value for the people who cannot leave their homes for shopping purposes. </w:t>
      </w:r>
      <w:r w:rsidR="00F711AD" w:rsidRPr="00070AB9">
        <w:rPr>
          <w:rFonts w:ascii="Times New Roman" w:hAnsi="Times New Roman" w:cs="Times New Roman"/>
          <w:color w:val="000000" w:themeColor="text1"/>
          <w:shd w:val="clear" w:color="auto" w:fill="FFFFFF"/>
        </w:rPr>
        <w:t xml:space="preserve">A report by KPMG (2018) also examines the recent </w:t>
      </w:r>
      <w:r w:rsidR="003A07F0" w:rsidRPr="00070AB9">
        <w:rPr>
          <w:rFonts w:ascii="Times New Roman" w:hAnsi="Times New Roman" w:cs="Times New Roman"/>
          <w:color w:val="000000" w:themeColor="text1"/>
          <w:shd w:val="clear" w:color="auto" w:fill="FFFFFF"/>
        </w:rPr>
        <w:t xml:space="preserve">trend in the packaged consumer goods sector. The report argues that to stay competitive and continue to grow, firms in this sector should integrate clear digital strategies into their business models. </w:t>
      </w:r>
      <w:r w:rsidR="00FA7B21" w:rsidRPr="00070AB9">
        <w:rPr>
          <w:rFonts w:ascii="Times New Roman" w:hAnsi="Times New Roman" w:cs="Times New Roman"/>
          <w:color w:val="000000" w:themeColor="text1"/>
          <w:shd w:val="clear" w:color="auto" w:fill="FFFFFF"/>
        </w:rPr>
        <w:t>In this context, the data analysis stands out as an important capability for companies. Specifically, KPMG (2018) states that “For companies to embrace a digital future, they need to get number crunching to make sense of the plethora of data collected day-on-day. The application of data and analytics should not only apply to one segment of the organisation – it is critical to make sense of information across the whole business to gain insights, and empower every employee to make decisions based on these</w:t>
      </w:r>
      <w:r w:rsidR="00FB60A9" w:rsidRPr="00070AB9">
        <w:rPr>
          <w:rFonts w:ascii="Times New Roman" w:hAnsi="Times New Roman" w:cs="Times New Roman"/>
          <w:color w:val="000000" w:themeColor="text1"/>
          <w:shd w:val="clear" w:color="auto" w:fill="FFFFFF"/>
        </w:rPr>
        <w:t>” (p.10</w:t>
      </w:r>
      <w:r w:rsidR="003814D3" w:rsidRPr="00070AB9">
        <w:rPr>
          <w:rFonts w:ascii="Times New Roman" w:hAnsi="Times New Roman" w:cs="Times New Roman"/>
          <w:color w:val="000000" w:themeColor="text1"/>
          <w:shd w:val="clear" w:color="auto" w:fill="FFFFFF"/>
        </w:rPr>
        <w:t>)</w:t>
      </w:r>
      <w:r w:rsidR="00FA7B21" w:rsidRPr="00070AB9">
        <w:rPr>
          <w:rFonts w:ascii="Times New Roman" w:hAnsi="Times New Roman" w:cs="Times New Roman"/>
          <w:color w:val="000000" w:themeColor="text1"/>
          <w:shd w:val="clear" w:color="auto" w:fill="FFFFFF"/>
        </w:rPr>
        <w:t>.</w:t>
      </w:r>
    </w:p>
    <w:p w14:paraId="73F0481D" w14:textId="5DF403F7" w:rsidR="00DD589E" w:rsidRDefault="00DD589E" w:rsidP="00FA7B21">
      <w:pPr>
        <w:pStyle w:val="OBEBody"/>
        <w:rPr>
          <w:rFonts w:ascii="Times New Roman" w:hAnsi="Times New Roman" w:cs="Times New Roman"/>
          <w:color w:val="000000" w:themeColor="text1"/>
          <w:shd w:val="clear" w:color="auto" w:fill="FFFFFF"/>
        </w:rPr>
      </w:pPr>
      <w:r w:rsidRPr="00070AB9">
        <w:rPr>
          <w:rFonts w:ascii="Times New Roman" w:hAnsi="Times New Roman" w:cs="Times New Roman"/>
          <w:color w:val="000000" w:themeColor="text1"/>
          <w:shd w:val="clear" w:color="auto" w:fill="FFFFFF"/>
        </w:rPr>
        <w:t>I</w:t>
      </w:r>
      <w:r w:rsidR="00FE3B67" w:rsidRPr="00070AB9">
        <w:rPr>
          <w:rFonts w:ascii="Times New Roman" w:hAnsi="Times New Roman" w:cs="Times New Roman"/>
          <w:color w:val="000000" w:themeColor="text1"/>
          <w:shd w:val="clear" w:color="auto" w:fill="FFFFFF"/>
        </w:rPr>
        <w:t>n another business</w:t>
      </w:r>
      <w:r w:rsidRPr="00070AB9">
        <w:rPr>
          <w:rFonts w:ascii="Times New Roman" w:hAnsi="Times New Roman" w:cs="Times New Roman"/>
          <w:color w:val="000000" w:themeColor="text1"/>
          <w:shd w:val="clear" w:color="auto" w:fill="FFFFFF"/>
        </w:rPr>
        <w:t xml:space="preserve"> report, Deloitte (</w:t>
      </w:r>
      <w:r w:rsidR="00FE3B67" w:rsidRPr="00070AB9">
        <w:rPr>
          <w:rFonts w:ascii="Times New Roman" w:hAnsi="Times New Roman" w:cs="Times New Roman"/>
          <w:color w:val="000000" w:themeColor="text1"/>
          <w:shd w:val="clear" w:color="auto" w:fill="FFFFFF"/>
        </w:rPr>
        <w:t>2016</w:t>
      </w:r>
      <w:r w:rsidRPr="00070AB9">
        <w:rPr>
          <w:rFonts w:ascii="Times New Roman" w:hAnsi="Times New Roman" w:cs="Times New Roman"/>
          <w:color w:val="000000" w:themeColor="text1"/>
          <w:shd w:val="clear" w:color="auto" w:fill="FFFFFF"/>
        </w:rPr>
        <w:t>) also emphasi</w:t>
      </w:r>
      <w:r w:rsidR="00C479B7" w:rsidRPr="00070AB9">
        <w:rPr>
          <w:rFonts w:ascii="Times New Roman" w:hAnsi="Times New Roman" w:cs="Times New Roman"/>
          <w:color w:val="000000" w:themeColor="text1"/>
          <w:shd w:val="clear" w:color="auto" w:fill="FFFFFF"/>
        </w:rPr>
        <w:t>s</w:t>
      </w:r>
      <w:r w:rsidRPr="00070AB9">
        <w:rPr>
          <w:rFonts w:ascii="Times New Roman" w:hAnsi="Times New Roman" w:cs="Times New Roman"/>
          <w:color w:val="000000" w:themeColor="text1"/>
          <w:shd w:val="clear" w:color="auto" w:fill="FFFFFF"/>
        </w:rPr>
        <w:t>e</w:t>
      </w:r>
      <w:r w:rsidR="00F22AD2" w:rsidRPr="00070AB9">
        <w:rPr>
          <w:rFonts w:ascii="Times New Roman" w:hAnsi="Times New Roman" w:cs="Times New Roman"/>
          <w:color w:val="000000" w:themeColor="text1"/>
          <w:shd w:val="clear" w:color="auto" w:fill="FFFFFF"/>
        </w:rPr>
        <w:t>s</w:t>
      </w:r>
      <w:r w:rsidRPr="00070AB9">
        <w:rPr>
          <w:rFonts w:ascii="Times New Roman" w:hAnsi="Times New Roman" w:cs="Times New Roman"/>
          <w:color w:val="000000" w:themeColor="text1"/>
          <w:shd w:val="clear" w:color="auto" w:fill="FFFFFF"/>
        </w:rPr>
        <w:t xml:space="preserve"> the importance of digitali</w:t>
      </w:r>
      <w:r w:rsidR="00EB2C20" w:rsidRPr="00070AB9">
        <w:rPr>
          <w:rFonts w:ascii="Times New Roman" w:hAnsi="Times New Roman" w:cs="Times New Roman"/>
          <w:color w:val="000000" w:themeColor="text1"/>
          <w:shd w:val="clear" w:color="auto" w:fill="FFFFFF"/>
        </w:rPr>
        <w:t>s</w:t>
      </w:r>
      <w:r w:rsidRPr="00070AB9">
        <w:rPr>
          <w:rFonts w:ascii="Times New Roman" w:hAnsi="Times New Roman" w:cs="Times New Roman"/>
          <w:color w:val="000000" w:themeColor="text1"/>
          <w:shd w:val="clear" w:color="auto" w:fill="FFFFFF"/>
        </w:rPr>
        <w:t xml:space="preserve">ation in </w:t>
      </w:r>
      <w:r w:rsidR="0098175D" w:rsidRPr="00070AB9">
        <w:rPr>
          <w:rFonts w:ascii="Times New Roman" w:hAnsi="Times New Roman" w:cs="Times New Roman"/>
          <w:color w:val="000000" w:themeColor="text1"/>
          <w:shd w:val="clear" w:color="auto" w:fill="FFFFFF"/>
        </w:rPr>
        <w:t xml:space="preserve">the </w:t>
      </w:r>
      <w:r w:rsidRPr="00070AB9">
        <w:rPr>
          <w:rFonts w:ascii="Times New Roman" w:hAnsi="Times New Roman" w:cs="Times New Roman"/>
          <w:color w:val="000000" w:themeColor="text1"/>
          <w:shd w:val="clear" w:color="auto" w:fill="FFFFFF"/>
        </w:rPr>
        <w:t xml:space="preserve">consumer goods sector. </w:t>
      </w:r>
      <w:r w:rsidR="001E3A66" w:rsidRPr="00070AB9">
        <w:rPr>
          <w:rFonts w:ascii="Times New Roman" w:hAnsi="Times New Roman" w:cs="Times New Roman"/>
          <w:color w:val="000000" w:themeColor="text1"/>
          <w:shd w:val="clear" w:color="auto" w:fill="FFFFFF"/>
        </w:rPr>
        <w:t>Figure 1 provides some of its findings. It is seen that 56% of consumers make an online purchase from their houses. 48% use la</w:t>
      </w:r>
      <w:r w:rsidR="0054712E" w:rsidRPr="00070AB9">
        <w:rPr>
          <w:rFonts w:ascii="Times New Roman" w:hAnsi="Times New Roman" w:cs="Times New Roman"/>
          <w:color w:val="000000" w:themeColor="text1"/>
          <w:shd w:val="clear" w:color="auto" w:fill="FFFFFF"/>
        </w:rPr>
        <w:t>p</w:t>
      </w:r>
      <w:r w:rsidR="001E3A66" w:rsidRPr="00070AB9">
        <w:rPr>
          <w:rFonts w:ascii="Times New Roman" w:hAnsi="Times New Roman" w:cs="Times New Roman"/>
          <w:color w:val="000000" w:themeColor="text1"/>
          <w:shd w:val="clear" w:color="auto" w:fill="FFFFFF"/>
        </w:rPr>
        <w:t xml:space="preserve">tops or computers, while 32% use smartphones to </w:t>
      </w:r>
      <w:r w:rsidR="0054712E" w:rsidRPr="00070AB9">
        <w:rPr>
          <w:rFonts w:ascii="Times New Roman" w:hAnsi="Times New Roman" w:cs="Times New Roman"/>
          <w:color w:val="000000" w:themeColor="text1"/>
          <w:shd w:val="clear" w:color="auto" w:fill="FFFFFF"/>
        </w:rPr>
        <w:t>do</w:t>
      </w:r>
      <w:r w:rsidR="001E3A66" w:rsidRPr="00070AB9">
        <w:rPr>
          <w:rFonts w:ascii="Times New Roman" w:hAnsi="Times New Roman" w:cs="Times New Roman"/>
          <w:color w:val="000000" w:themeColor="text1"/>
          <w:shd w:val="clear" w:color="auto" w:fill="FFFFFF"/>
        </w:rPr>
        <w:t xml:space="preserve"> relevant online shopping. </w:t>
      </w:r>
      <w:r w:rsidR="0054712E" w:rsidRPr="00070AB9">
        <w:rPr>
          <w:rFonts w:ascii="Times New Roman" w:hAnsi="Times New Roman" w:cs="Times New Roman"/>
          <w:color w:val="000000" w:themeColor="text1"/>
          <w:shd w:val="clear" w:color="auto" w:fill="FFFFFF"/>
        </w:rPr>
        <w:t xml:space="preserve">As another important finding, 38% of consumers use their smartphones to share feedbacks, compare products or seek expert advice on a certain product. </w:t>
      </w:r>
      <w:r w:rsidR="00F8189B" w:rsidRPr="00070AB9">
        <w:rPr>
          <w:rFonts w:ascii="Times New Roman" w:hAnsi="Times New Roman" w:cs="Times New Roman"/>
          <w:color w:val="000000" w:themeColor="text1"/>
          <w:shd w:val="clear" w:color="auto" w:fill="FFFFFF"/>
        </w:rPr>
        <w:t>17% of consumers also use digital pa</w:t>
      </w:r>
      <w:r w:rsidR="00F15585" w:rsidRPr="00070AB9">
        <w:rPr>
          <w:rFonts w:ascii="Times New Roman" w:hAnsi="Times New Roman" w:cs="Times New Roman"/>
          <w:color w:val="000000" w:themeColor="text1"/>
          <w:shd w:val="clear" w:color="auto" w:fill="FFFFFF"/>
        </w:rPr>
        <w:t>yments</w:t>
      </w:r>
      <w:r w:rsidR="00F8189B" w:rsidRPr="00070AB9">
        <w:rPr>
          <w:rFonts w:ascii="Times New Roman" w:hAnsi="Times New Roman" w:cs="Times New Roman"/>
          <w:color w:val="000000" w:themeColor="text1"/>
          <w:shd w:val="clear" w:color="auto" w:fill="FFFFFF"/>
        </w:rPr>
        <w:t xml:space="preserve"> for their purchases in stores, and even when in-store, 18% of consumers prefer to make </w:t>
      </w:r>
      <w:r w:rsidR="005174BE" w:rsidRPr="00070AB9">
        <w:rPr>
          <w:rFonts w:ascii="Times New Roman" w:hAnsi="Times New Roman" w:cs="Times New Roman"/>
          <w:color w:val="000000" w:themeColor="text1"/>
          <w:shd w:val="clear" w:color="auto" w:fill="FFFFFF"/>
        </w:rPr>
        <w:t>their requests by smar</w:t>
      </w:r>
      <w:r w:rsidR="009200EF" w:rsidRPr="00070AB9">
        <w:rPr>
          <w:rFonts w:ascii="Times New Roman" w:hAnsi="Times New Roman" w:cs="Times New Roman"/>
          <w:color w:val="000000" w:themeColor="text1"/>
          <w:shd w:val="clear" w:color="auto" w:fill="FFFFFF"/>
        </w:rPr>
        <w:t>t</w:t>
      </w:r>
      <w:r w:rsidR="005174BE" w:rsidRPr="00070AB9">
        <w:rPr>
          <w:rFonts w:ascii="Times New Roman" w:hAnsi="Times New Roman" w:cs="Times New Roman"/>
          <w:color w:val="000000" w:themeColor="text1"/>
          <w:shd w:val="clear" w:color="auto" w:fill="FFFFFF"/>
        </w:rPr>
        <w:t xml:space="preserve">phones. </w:t>
      </w:r>
      <w:r w:rsidR="009200EF" w:rsidRPr="00070AB9">
        <w:rPr>
          <w:rFonts w:ascii="Times New Roman" w:hAnsi="Times New Roman" w:cs="Times New Roman"/>
          <w:color w:val="000000" w:themeColor="text1"/>
          <w:shd w:val="clear" w:color="auto" w:fill="FFFFFF"/>
        </w:rPr>
        <w:t>Overall, these results show that digitali</w:t>
      </w:r>
      <w:r w:rsidR="00635E82" w:rsidRPr="00070AB9">
        <w:rPr>
          <w:rFonts w:ascii="Times New Roman" w:hAnsi="Times New Roman" w:cs="Times New Roman"/>
          <w:color w:val="000000" w:themeColor="text1"/>
          <w:shd w:val="clear" w:color="auto" w:fill="FFFFFF"/>
        </w:rPr>
        <w:t>s</w:t>
      </w:r>
      <w:r w:rsidR="009200EF" w:rsidRPr="00070AB9">
        <w:rPr>
          <w:rFonts w:ascii="Times New Roman" w:hAnsi="Times New Roman" w:cs="Times New Roman"/>
          <w:color w:val="000000" w:themeColor="text1"/>
          <w:shd w:val="clear" w:color="auto" w:fill="FFFFFF"/>
        </w:rPr>
        <w:t>ation is changing the purchasing behaviour of consumers in significant ways. In response, businesses shoul</w:t>
      </w:r>
      <w:r w:rsidR="00524D6D" w:rsidRPr="00070AB9">
        <w:rPr>
          <w:rFonts w:ascii="Times New Roman" w:hAnsi="Times New Roman" w:cs="Times New Roman"/>
          <w:color w:val="000000" w:themeColor="text1"/>
          <w:shd w:val="clear" w:color="auto" w:fill="FFFFFF"/>
        </w:rPr>
        <w:t xml:space="preserve">d devise strategies to adapt to these changes. The digitalisation of consumer services and relations, along with the efficient use of data analysis stand out as important </w:t>
      </w:r>
      <w:r w:rsidR="00956636" w:rsidRPr="00070AB9">
        <w:rPr>
          <w:rFonts w:ascii="Times New Roman" w:hAnsi="Times New Roman" w:cs="Times New Roman"/>
          <w:color w:val="000000" w:themeColor="text1"/>
          <w:shd w:val="clear" w:color="auto" w:fill="FFFFFF"/>
        </w:rPr>
        <w:t xml:space="preserve">strategies that businesses in the consumer goods sector should implement. </w:t>
      </w:r>
    </w:p>
    <w:p w14:paraId="75490C8B" w14:textId="0E732D54" w:rsidR="00070AB9" w:rsidRDefault="00070AB9" w:rsidP="00FA7B21">
      <w:pPr>
        <w:pStyle w:val="OBEBody"/>
        <w:rPr>
          <w:rFonts w:ascii="Times New Roman" w:hAnsi="Times New Roman" w:cs="Times New Roman"/>
          <w:color w:val="000000" w:themeColor="text1"/>
          <w:shd w:val="clear" w:color="auto" w:fill="FFFFFF"/>
        </w:rPr>
      </w:pPr>
    </w:p>
    <w:p w14:paraId="739EBAAA" w14:textId="2B6C1314" w:rsidR="00070AB9" w:rsidRDefault="00070AB9" w:rsidP="00FA7B21">
      <w:pPr>
        <w:pStyle w:val="OBEBody"/>
        <w:rPr>
          <w:rFonts w:ascii="Times New Roman" w:hAnsi="Times New Roman" w:cs="Times New Roman"/>
          <w:color w:val="000000" w:themeColor="text1"/>
          <w:shd w:val="clear" w:color="auto" w:fill="FFFFFF"/>
        </w:rPr>
      </w:pPr>
    </w:p>
    <w:p w14:paraId="6C24C1E7" w14:textId="592F9A60" w:rsidR="00070AB9" w:rsidRDefault="00070AB9" w:rsidP="00FA7B21">
      <w:pPr>
        <w:pStyle w:val="OBEBody"/>
        <w:rPr>
          <w:rFonts w:ascii="Times New Roman" w:hAnsi="Times New Roman" w:cs="Times New Roman"/>
          <w:color w:val="000000" w:themeColor="text1"/>
          <w:shd w:val="clear" w:color="auto" w:fill="FFFFFF"/>
        </w:rPr>
      </w:pPr>
    </w:p>
    <w:p w14:paraId="12423E9A" w14:textId="126858BD" w:rsidR="00070AB9" w:rsidRDefault="00070AB9" w:rsidP="00FA7B21">
      <w:pPr>
        <w:pStyle w:val="OBEBody"/>
        <w:rPr>
          <w:rFonts w:ascii="Times New Roman" w:hAnsi="Times New Roman" w:cs="Times New Roman"/>
          <w:color w:val="000000" w:themeColor="text1"/>
          <w:shd w:val="clear" w:color="auto" w:fill="FFFFFF"/>
        </w:rPr>
      </w:pPr>
    </w:p>
    <w:p w14:paraId="48210661" w14:textId="35FE8829" w:rsidR="00070AB9" w:rsidRDefault="00070AB9" w:rsidP="00FA7B21">
      <w:pPr>
        <w:pStyle w:val="OBEBody"/>
        <w:rPr>
          <w:rFonts w:ascii="Times New Roman" w:hAnsi="Times New Roman" w:cs="Times New Roman"/>
          <w:color w:val="000000" w:themeColor="text1"/>
          <w:shd w:val="clear" w:color="auto" w:fill="FFFFFF"/>
        </w:rPr>
      </w:pPr>
    </w:p>
    <w:p w14:paraId="00BA6D55" w14:textId="77777777" w:rsidR="00070AB9" w:rsidRPr="00070AB9" w:rsidRDefault="00070AB9" w:rsidP="00FA7B21">
      <w:pPr>
        <w:pStyle w:val="OBEBody"/>
        <w:rPr>
          <w:rFonts w:ascii="Times New Roman" w:hAnsi="Times New Roman" w:cs="Times New Roman"/>
          <w:color w:val="000000" w:themeColor="text1"/>
          <w:shd w:val="clear" w:color="auto" w:fill="FFFFFF"/>
        </w:rPr>
      </w:pPr>
    </w:p>
    <w:tbl>
      <w:tblPr>
        <w:tblStyle w:val="TableGrid"/>
        <w:tblW w:w="0" w:type="auto"/>
        <w:tblLook w:val="04A0" w:firstRow="1" w:lastRow="0" w:firstColumn="1" w:lastColumn="0" w:noHBand="0" w:noVBand="1"/>
      </w:tblPr>
      <w:tblGrid>
        <w:gridCol w:w="9016"/>
      </w:tblGrid>
      <w:tr w:rsidR="00070AB9" w:rsidRPr="00070AB9" w14:paraId="7802997B" w14:textId="77777777" w:rsidTr="00671B02">
        <w:tc>
          <w:tcPr>
            <w:tcW w:w="9016" w:type="dxa"/>
          </w:tcPr>
          <w:p w14:paraId="5D03DB58" w14:textId="77777777" w:rsidR="00CC5E15" w:rsidRPr="00070AB9" w:rsidRDefault="00CC5E15" w:rsidP="00671B02">
            <w:pPr>
              <w:pStyle w:val="OBEBody"/>
              <w:rPr>
                <w:rFonts w:ascii="Times New Roman" w:hAnsi="Times New Roman" w:cs="Times New Roman"/>
                <w:b/>
                <w:bCs/>
                <w:color w:val="000000" w:themeColor="text1"/>
                <w:shd w:val="clear" w:color="auto" w:fill="FFFFFF"/>
              </w:rPr>
            </w:pPr>
            <w:r w:rsidRPr="00070AB9">
              <w:rPr>
                <w:rFonts w:ascii="Times New Roman" w:hAnsi="Times New Roman" w:cs="Times New Roman"/>
                <w:b/>
                <w:bCs/>
                <w:color w:val="000000" w:themeColor="text1"/>
                <w:shd w:val="clear" w:color="auto" w:fill="FFFFFF"/>
              </w:rPr>
              <w:lastRenderedPageBreak/>
              <w:t>Figure 1: Digitalisation in the Consumer Goods Sector</w:t>
            </w:r>
          </w:p>
        </w:tc>
      </w:tr>
      <w:tr w:rsidR="00070AB9" w:rsidRPr="00070AB9" w14:paraId="689A137D" w14:textId="77777777" w:rsidTr="00671B02">
        <w:tc>
          <w:tcPr>
            <w:tcW w:w="9016" w:type="dxa"/>
          </w:tcPr>
          <w:p w14:paraId="16C6EDB6" w14:textId="77777777" w:rsidR="00CC5E15" w:rsidRPr="00070AB9" w:rsidRDefault="00B9720E" w:rsidP="00671B02">
            <w:pPr>
              <w:pStyle w:val="OBEBody"/>
              <w:rPr>
                <w:rFonts w:ascii="Times New Roman" w:hAnsi="Times New Roman" w:cs="Times New Roman"/>
                <w:b/>
                <w:bCs/>
                <w:color w:val="000000" w:themeColor="text1"/>
                <w:shd w:val="clear" w:color="auto" w:fill="FFFFFF"/>
              </w:rPr>
            </w:pPr>
            <w:r w:rsidRPr="00B9720E">
              <w:rPr>
                <w:rFonts w:ascii="Times New Roman" w:hAnsi="Times New Roman" w:cs="Times New Roman"/>
                <w:b/>
                <w:noProof/>
                <w:color w:val="000000" w:themeColor="text1"/>
              </w:rPr>
              <w:object w:dxaOrig="13572" w:dyaOrig="6480" w14:anchorId="3866D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4.85pt;height:212.8pt;mso-width-percent:0;mso-height-percent:0;mso-width-percent:0;mso-height-percent:0" o:ole="">
                  <v:imagedata r:id="rId8" o:title=""/>
                </v:shape>
                <o:OLEObject Type="Embed" ProgID="PBrush" ShapeID="_x0000_i1026" DrawAspect="Content" ObjectID="_1650797958" r:id="rId9"/>
              </w:object>
            </w:r>
          </w:p>
        </w:tc>
      </w:tr>
      <w:tr w:rsidR="00CC5E15" w:rsidRPr="00070AB9" w14:paraId="393C54E8" w14:textId="77777777" w:rsidTr="00671B02">
        <w:tc>
          <w:tcPr>
            <w:tcW w:w="9016" w:type="dxa"/>
          </w:tcPr>
          <w:p w14:paraId="79EAA156" w14:textId="77777777" w:rsidR="00CC5E15" w:rsidRPr="00070AB9" w:rsidRDefault="00CC5E15" w:rsidP="00671B02">
            <w:pPr>
              <w:pStyle w:val="OBEBody"/>
              <w:rPr>
                <w:rFonts w:ascii="Times New Roman" w:hAnsi="Times New Roman" w:cs="Times New Roman"/>
                <w:b/>
                <w:bCs/>
                <w:color w:val="000000" w:themeColor="text1"/>
                <w:shd w:val="clear" w:color="auto" w:fill="FFFFFF"/>
              </w:rPr>
            </w:pPr>
            <w:r w:rsidRPr="00070AB9">
              <w:rPr>
                <w:rFonts w:ascii="Times New Roman" w:hAnsi="Times New Roman" w:cs="Times New Roman"/>
                <w:b/>
                <w:bCs/>
                <w:color w:val="000000" w:themeColor="text1"/>
                <w:shd w:val="clear" w:color="auto" w:fill="FFFFFF"/>
              </w:rPr>
              <w:t xml:space="preserve">Source: Deloitte (2020). </w:t>
            </w:r>
          </w:p>
        </w:tc>
      </w:tr>
    </w:tbl>
    <w:p w14:paraId="7158DF4C" w14:textId="77777777" w:rsidR="00CC5E15" w:rsidRPr="00070AB9" w:rsidRDefault="00CC5E15" w:rsidP="00FA7B21">
      <w:pPr>
        <w:pStyle w:val="OBEBody"/>
        <w:rPr>
          <w:rFonts w:ascii="Times New Roman" w:hAnsi="Times New Roman" w:cs="Times New Roman"/>
          <w:b/>
          <w:bCs/>
          <w:color w:val="000000" w:themeColor="text1"/>
          <w:shd w:val="clear" w:color="auto" w:fill="FFFFFF"/>
        </w:rPr>
      </w:pPr>
    </w:p>
    <w:p w14:paraId="1A436EC3" w14:textId="20CEE563" w:rsidR="00D63818" w:rsidRPr="00070AB9" w:rsidRDefault="00B2071C" w:rsidP="00FA7B21">
      <w:pPr>
        <w:pStyle w:val="OBEBody"/>
        <w:rPr>
          <w:rFonts w:ascii="Times New Roman" w:eastAsia="Calibri" w:hAnsi="Times New Roman" w:cs="Times New Roman"/>
          <w:color w:val="000000" w:themeColor="text1"/>
          <w:kern w:val="2"/>
          <w:shd w:val="clear" w:color="auto" w:fill="FFFFFF"/>
        </w:rPr>
      </w:pPr>
      <w:r w:rsidRPr="00070AB9">
        <w:rPr>
          <w:rFonts w:ascii="Times New Roman" w:hAnsi="Times New Roman" w:cs="Times New Roman"/>
          <w:color w:val="000000" w:themeColor="text1"/>
          <w:shd w:val="clear" w:color="auto" w:fill="FFFFFF"/>
        </w:rPr>
        <w:t xml:space="preserve">Strong (2014) examines the implications of the data economy for the consumer goods sector. </w:t>
      </w:r>
      <w:r w:rsidR="00FD42B6" w:rsidRPr="00070AB9">
        <w:rPr>
          <w:rFonts w:ascii="Times New Roman" w:hAnsi="Times New Roman" w:cs="Times New Roman"/>
          <w:color w:val="000000" w:themeColor="text1"/>
          <w:shd w:val="clear" w:color="auto" w:fill="FFFFFF"/>
        </w:rPr>
        <w:t xml:space="preserve">The author argues that data is changing business relations in significant ways. In this context, social media </w:t>
      </w:r>
      <w:r w:rsidR="00B70205" w:rsidRPr="00070AB9">
        <w:rPr>
          <w:rFonts w:ascii="Times New Roman" w:hAnsi="Times New Roman" w:cs="Times New Roman"/>
          <w:color w:val="000000" w:themeColor="text1"/>
          <w:shd w:val="clear" w:color="auto" w:fill="FFFFFF"/>
        </w:rPr>
        <w:t>has become a central platform for the communication of people</w:t>
      </w:r>
      <w:r w:rsidR="00812EB4" w:rsidRPr="00070AB9">
        <w:rPr>
          <w:rFonts w:ascii="Times New Roman" w:hAnsi="Times New Roman" w:cs="Times New Roman"/>
          <w:color w:val="000000" w:themeColor="text1"/>
          <w:shd w:val="clear" w:color="auto" w:fill="FFFFFF"/>
        </w:rPr>
        <w:t xml:space="preserve"> (</w:t>
      </w:r>
      <w:proofErr w:type="spellStart"/>
      <w:r w:rsidR="00812EB4" w:rsidRPr="00070AB9">
        <w:rPr>
          <w:rFonts w:ascii="Times New Roman" w:hAnsi="Times New Roman" w:cs="Times New Roman"/>
          <w:color w:val="000000" w:themeColor="text1"/>
          <w:shd w:val="clear" w:color="auto" w:fill="FFFFFF"/>
        </w:rPr>
        <w:t>Kietzmann</w:t>
      </w:r>
      <w:proofErr w:type="spellEnd"/>
      <w:r w:rsidR="00812EB4" w:rsidRPr="00070AB9">
        <w:rPr>
          <w:rFonts w:ascii="Times New Roman" w:hAnsi="Times New Roman" w:cs="Times New Roman"/>
          <w:color w:val="000000" w:themeColor="text1"/>
          <w:shd w:val="clear" w:color="auto" w:fill="FFFFFF"/>
        </w:rPr>
        <w:t xml:space="preserve"> et al., 2011; </w:t>
      </w:r>
      <w:proofErr w:type="spellStart"/>
      <w:r w:rsidR="005F4ED0" w:rsidRPr="00070AB9">
        <w:rPr>
          <w:rFonts w:ascii="Times New Roman" w:hAnsi="Times New Roman" w:cs="Times New Roman"/>
          <w:color w:val="000000" w:themeColor="text1"/>
          <w:shd w:val="clear" w:color="auto" w:fill="FFFFFF"/>
        </w:rPr>
        <w:t>Abuhashesh</w:t>
      </w:r>
      <w:proofErr w:type="spellEnd"/>
      <w:r w:rsidR="005F4ED0" w:rsidRPr="00070AB9">
        <w:rPr>
          <w:rFonts w:ascii="Times New Roman" w:hAnsi="Times New Roman" w:cs="Times New Roman"/>
          <w:color w:val="000000" w:themeColor="text1"/>
          <w:shd w:val="clear" w:color="auto" w:fill="FFFFFF"/>
        </w:rPr>
        <w:t xml:space="preserve">, 2014; </w:t>
      </w:r>
      <w:r w:rsidR="00812EB4" w:rsidRPr="00070AB9">
        <w:rPr>
          <w:rFonts w:ascii="Times New Roman" w:hAnsi="Times New Roman" w:cs="Times New Roman"/>
          <w:color w:val="000000" w:themeColor="text1"/>
          <w:shd w:val="clear" w:color="auto" w:fill="FFFFFF"/>
        </w:rPr>
        <w:t xml:space="preserve">Perrin, 2015; </w:t>
      </w:r>
      <w:r w:rsidR="005F4ED0" w:rsidRPr="00070AB9">
        <w:rPr>
          <w:rFonts w:ascii="Times New Roman" w:hAnsi="Times New Roman" w:cs="Times New Roman"/>
          <w:color w:val="000000" w:themeColor="text1"/>
          <w:shd w:val="clear" w:color="auto" w:fill="FFFFFF"/>
        </w:rPr>
        <w:t>Hansen and Levin, 2016; He et al., 2017)</w:t>
      </w:r>
      <w:r w:rsidR="00B70205" w:rsidRPr="00070AB9">
        <w:rPr>
          <w:rFonts w:ascii="Times New Roman" w:hAnsi="Times New Roman" w:cs="Times New Roman"/>
          <w:color w:val="000000" w:themeColor="text1"/>
          <w:shd w:val="clear" w:color="auto" w:fill="FFFFFF"/>
        </w:rPr>
        <w:t>. In addition, people follow brands on social med</w:t>
      </w:r>
      <w:r w:rsidR="003E6B1F" w:rsidRPr="00070AB9">
        <w:rPr>
          <w:rFonts w:ascii="Times New Roman" w:hAnsi="Times New Roman" w:cs="Times New Roman"/>
          <w:color w:val="000000" w:themeColor="text1"/>
          <w:shd w:val="clear" w:color="auto" w:fill="FFFFFF"/>
        </w:rPr>
        <w:t xml:space="preserve">ia, </w:t>
      </w:r>
      <w:r w:rsidR="00B70205" w:rsidRPr="00070AB9">
        <w:rPr>
          <w:rFonts w:ascii="Times New Roman" w:hAnsi="Times New Roman" w:cs="Times New Roman"/>
          <w:color w:val="000000" w:themeColor="text1"/>
          <w:shd w:val="clear" w:color="auto" w:fill="FFFFFF"/>
        </w:rPr>
        <w:t>they share experiences about goods and services and review the relevant feedback and ratings on social media before making expenditures</w:t>
      </w:r>
      <w:r w:rsidR="003E6B1F" w:rsidRPr="00070AB9">
        <w:rPr>
          <w:rFonts w:ascii="Times New Roman" w:hAnsi="Times New Roman" w:cs="Times New Roman"/>
          <w:color w:val="000000" w:themeColor="text1"/>
          <w:shd w:val="clear" w:color="auto" w:fill="FFFFFF"/>
        </w:rPr>
        <w:t xml:space="preserve"> (Chen et al., 2011; Mangold and Smith, 2012; Zhang et al., 2012; Yates and </w:t>
      </w:r>
      <w:proofErr w:type="spellStart"/>
      <w:r w:rsidR="003E6B1F" w:rsidRPr="00070AB9">
        <w:rPr>
          <w:rFonts w:ascii="Times New Roman" w:hAnsi="Times New Roman" w:cs="Times New Roman"/>
          <w:color w:val="000000" w:themeColor="text1"/>
          <w:shd w:val="clear" w:color="auto" w:fill="FFFFFF"/>
        </w:rPr>
        <w:t>Goharian</w:t>
      </w:r>
      <w:proofErr w:type="spellEnd"/>
      <w:r w:rsidR="003E6B1F" w:rsidRPr="00070AB9">
        <w:rPr>
          <w:rFonts w:ascii="Times New Roman" w:hAnsi="Times New Roman" w:cs="Times New Roman"/>
          <w:color w:val="000000" w:themeColor="text1"/>
          <w:shd w:val="clear" w:color="auto" w:fill="FFFFFF"/>
        </w:rPr>
        <w:t xml:space="preserve">, 2013; </w:t>
      </w:r>
      <w:proofErr w:type="spellStart"/>
      <w:r w:rsidR="003E6B1F" w:rsidRPr="00070AB9">
        <w:rPr>
          <w:rFonts w:ascii="Times New Roman" w:eastAsia="Calibri" w:hAnsi="Times New Roman" w:cs="Times New Roman"/>
          <w:color w:val="000000" w:themeColor="text1"/>
          <w:kern w:val="2"/>
          <w:shd w:val="clear" w:color="auto" w:fill="FFFFFF"/>
        </w:rPr>
        <w:t>Leeflang</w:t>
      </w:r>
      <w:proofErr w:type="spellEnd"/>
      <w:r w:rsidR="003E6B1F" w:rsidRPr="00070AB9">
        <w:rPr>
          <w:rFonts w:ascii="Times New Roman" w:eastAsia="Calibri" w:hAnsi="Times New Roman" w:cs="Times New Roman"/>
          <w:color w:val="000000" w:themeColor="text1"/>
          <w:kern w:val="2"/>
          <w:shd w:val="clear" w:color="auto" w:fill="FFFFFF"/>
        </w:rPr>
        <w:t xml:space="preserve"> et al., 2014). </w:t>
      </w:r>
      <w:r w:rsidR="003373E0" w:rsidRPr="00070AB9">
        <w:rPr>
          <w:rFonts w:ascii="Times New Roman" w:eastAsia="Calibri" w:hAnsi="Times New Roman" w:cs="Times New Roman"/>
          <w:color w:val="000000" w:themeColor="text1"/>
          <w:kern w:val="2"/>
          <w:shd w:val="clear" w:color="auto" w:fill="FFFFFF"/>
        </w:rPr>
        <w:t xml:space="preserve">In addition, e-commerce is becoming a central dimension of business life for many sectors. However, Strong (2014) notes that consumer goods firms have been relatively slow in adopting such technologies and strategies. </w:t>
      </w:r>
      <w:r w:rsidR="0072461B" w:rsidRPr="00070AB9">
        <w:rPr>
          <w:rFonts w:ascii="Times New Roman" w:eastAsia="Calibri" w:hAnsi="Times New Roman" w:cs="Times New Roman"/>
          <w:color w:val="000000" w:themeColor="text1"/>
          <w:kern w:val="2"/>
          <w:shd w:val="clear" w:color="auto" w:fill="FFFFFF"/>
        </w:rPr>
        <w:t>However, this slow adoption of digital technologies can be detrimental to the sector. Specifically, Strong (2014) states that “Data now feels so central to business success that without an ongoing, data-mediated relationship with their customer base, we may be looking at an environment where data-poor brands will struggle to compete effectively”.</w:t>
      </w:r>
      <w:r w:rsidR="00CD01C4" w:rsidRPr="00070AB9">
        <w:rPr>
          <w:rFonts w:ascii="Times New Roman" w:eastAsia="Calibri" w:hAnsi="Times New Roman" w:cs="Times New Roman"/>
          <w:color w:val="000000" w:themeColor="text1"/>
          <w:kern w:val="2"/>
          <w:shd w:val="clear" w:color="auto" w:fill="FFFFFF"/>
        </w:rPr>
        <w:t xml:space="preserve"> But there can be some asymmetry in access to the relevant data between </w:t>
      </w:r>
      <w:r w:rsidR="00F14829" w:rsidRPr="00070AB9">
        <w:rPr>
          <w:rFonts w:ascii="Times New Roman" w:eastAsia="Calibri" w:hAnsi="Times New Roman" w:cs="Times New Roman"/>
          <w:color w:val="000000" w:themeColor="text1"/>
          <w:kern w:val="2"/>
          <w:shd w:val="clear" w:color="auto" w:fill="FFFFFF"/>
        </w:rPr>
        <w:t xml:space="preserve">the brands (or manufacturers) and the retailers that sell these brands. </w:t>
      </w:r>
      <w:r w:rsidR="008B53FB" w:rsidRPr="00070AB9">
        <w:rPr>
          <w:rFonts w:ascii="Times New Roman" w:eastAsia="Calibri" w:hAnsi="Times New Roman" w:cs="Times New Roman"/>
          <w:color w:val="000000" w:themeColor="text1"/>
          <w:kern w:val="2"/>
          <w:shd w:val="clear" w:color="auto" w:fill="FFFFFF"/>
        </w:rPr>
        <w:t xml:space="preserve">Namely, the retailers own the final step of the relationship between consumers and brands and thereby collect data in very </w:t>
      </w:r>
      <w:r w:rsidR="008B53FB" w:rsidRPr="00070AB9">
        <w:rPr>
          <w:rFonts w:ascii="Times New Roman" w:eastAsia="Calibri" w:hAnsi="Times New Roman" w:cs="Times New Roman"/>
          <w:color w:val="000000" w:themeColor="text1"/>
          <w:kern w:val="2"/>
          <w:shd w:val="clear" w:color="auto" w:fill="FFFFFF"/>
        </w:rPr>
        <w:lastRenderedPageBreak/>
        <w:t>large sizes. However, the brands might not have enough access or control at this final stage, and the</w:t>
      </w:r>
      <w:r w:rsidR="00906A3D" w:rsidRPr="00070AB9">
        <w:rPr>
          <w:rFonts w:ascii="Times New Roman" w:eastAsia="Calibri" w:hAnsi="Times New Roman" w:cs="Times New Roman"/>
          <w:color w:val="000000" w:themeColor="text1"/>
          <w:kern w:val="2"/>
          <w:shd w:val="clear" w:color="auto" w:fill="FFFFFF"/>
        </w:rPr>
        <w:t>ir</w:t>
      </w:r>
      <w:r w:rsidR="008B53FB" w:rsidRPr="00070AB9">
        <w:rPr>
          <w:rFonts w:ascii="Times New Roman" w:eastAsia="Calibri" w:hAnsi="Times New Roman" w:cs="Times New Roman"/>
          <w:color w:val="000000" w:themeColor="text1"/>
          <w:kern w:val="2"/>
          <w:shd w:val="clear" w:color="auto" w:fill="FFFFFF"/>
        </w:rPr>
        <w:t xml:space="preserve"> data capabilities can be constrained due to </w:t>
      </w:r>
      <w:r w:rsidR="00906A3D" w:rsidRPr="00070AB9">
        <w:rPr>
          <w:rFonts w:ascii="Times New Roman" w:eastAsia="Calibri" w:hAnsi="Times New Roman" w:cs="Times New Roman"/>
          <w:color w:val="000000" w:themeColor="text1"/>
          <w:kern w:val="2"/>
          <w:shd w:val="clear" w:color="auto" w:fill="FFFFFF"/>
        </w:rPr>
        <w:t xml:space="preserve">these limitations. </w:t>
      </w:r>
    </w:p>
    <w:p w14:paraId="35200775" w14:textId="4A1EEB22" w:rsidR="00D63818" w:rsidRPr="00070AB9" w:rsidRDefault="00330D7D" w:rsidP="00FA7B21">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One way for the brands to overcome the above restrictions and to form direct relationshi</w:t>
      </w:r>
      <w:r w:rsidR="00034035" w:rsidRPr="00070AB9">
        <w:rPr>
          <w:rFonts w:ascii="Times New Roman" w:eastAsia="Calibri" w:hAnsi="Times New Roman" w:cs="Times New Roman"/>
          <w:color w:val="000000" w:themeColor="text1"/>
          <w:kern w:val="2"/>
          <w:shd w:val="clear" w:color="auto" w:fill="FFFFFF"/>
        </w:rPr>
        <w:t>p</w:t>
      </w:r>
      <w:r w:rsidRPr="00070AB9">
        <w:rPr>
          <w:rFonts w:ascii="Times New Roman" w:eastAsia="Calibri" w:hAnsi="Times New Roman" w:cs="Times New Roman"/>
          <w:color w:val="000000" w:themeColor="text1"/>
          <w:kern w:val="2"/>
          <w:shd w:val="clear" w:color="auto" w:fill="FFFFFF"/>
        </w:rPr>
        <w:t xml:space="preserve">s </w:t>
      </w:r>
      <w:r w:rsidR="00034035" w:rsidRPr="00070AB9">
        <w:rPr>
          <w:rFonts w:ascii="Times New Roman" w:eastAsia="Calibri" w:hAnsi="Times New Roman" w:cs="Times New Roman"/>
          <w:color w:val="000000" w:themeColor="text1"/>
          <w:kern w:val="2"/>
          <w:shd w:val="clear" w:color="auto" w:fill="FFFFFF"/>
        </w:rPr>
        <w:t>with their clients is the creating of services around their brands</w:t>
      </w:r>
      <w:r w:rsidR="00BA7441" w:rsidRPr="00070AB9">
        <w:rPr>
          <w:rFonts w:ascii="Times New Roman" w:eastAsia="Calibri" w:hAnsi="Times New Roman" w:cs="Times New Roman"/>
          <w:color w:val="000000" w:themeColor="text1"/>
          <w:kern w:val="2"/>
          <w:shd w:val="clear" w:color="auto" w:fill="FFFFFF"/>
        </w:rPr>
        <w:t xml:space="preserve"> (</w:t>
      </w:r>
      <w:proofErr w:type="spellStart"/>
      <w:r w:rsidR="00BA7441" w:rsidRPr="00070AB9">
        <w:rPr>
          <w:rFonts w:ascii="Times New Roman" w:eastAsia="Calibri" w:hAnsi="Times New Roman" w:cs="Times New Roman"/>
          <w:color w:val="000000" w:themeColor="text1"/>
          <w:kern w:val="2"/>
          <w:shd w:val="clear" w:color="auto" w:fill="FFFFFF"/>
        </w:rPr>
        <w:t>Vandermerwe</w:t>
      </w:r>
      <w:proofErr w:type="spellEnd"/>
      <w:r w:rsidR="00BA7441" w:rsidRPr="00070AB9">
        <w:rPr>
          <w:rFonts w:ascii="Times New Roman" w:eastAsia="Calibri" w:hAnsi="Times New Roman" w:cs="Times New Roman"/>
          <w:color w:val="000000" w:themeColor="text1"/>
          <w:kern w:val="2"/>
          <w:shd w:val="clear" w:color="auto" w:fill="FFFFFF"/>
        </w:rPr>
        <w:t xml:space="preserve"> and Rad, 1988; Neely, 2008; Roy et al., 2009; Baines and Lightfoot, 2014; </w:t>
      </w:r>
      <w:r w:rsidR="00793059" w:rsidRPr="00070AB9">
        <w:rPr>
          <w:rFonts w:ascii="Times New Roman" w:eastAsia="Calibri" w:hAnsi="Times New Roman" w:cs="Times New Roman"/>
          <w:color w:val="000000" w:themeColor="text1"/>
          <w:kern w:val="2"/>
          <w:shd w:val="clear" w:color="auto" w:fill="FFFFFF"/>
        </w:rPr>
        <w:t>Lee et al., 2016)</w:t>
      </w:r>
      <w:r w:rsidR="00034035" w:rsidRPr="00070AB9">
        <w:rPr>
          <w:rFonts w:ascii="Times New Roman" w:eastAsia="Calibri" w:hAnsi="Times New Roman" w:cs="Times New Roman"/>
          <w:color w:val="000000" w:themeColor="text1"/>
          <w:kern w:val="2"/>
          <w:shd w:val="clear" w:color="auto" w:fill="FFFFFF"/>
        </w:rPr>
        <w:t>. This “</w:t>
      </w:r>
      <w:proofErr w:type="spellStart"/>
      <w:r w:rsidR="00034035" w:rsidRPr="00070AB9">
        <w:rPr>
          <w:rFonts w:ascii="Times New Roman" w:eastAsia="Calibri" w:hAnsi="Times New Roman" w:cs="Times New Roman"/>
          <w:color w:val="000000" w:themeColor="text1"/>
          <w:kern w:val="2"/>
          <w:shd w:val="clear" w:color="auto" w:fill="FFFFFF"/>
        </w:rPr>
        <w:t>servitisation</w:t>
      </w:r>
      <w:proofErr w:type="spellEnd"/>
      <w:r w:rsidR="00034035" w:rsidRPr="00070AB9">
        <w:rPr>
          <w:rFonts w:ascii="Times New Roman" w:eastAsia="Calibri" w:hAnsi="Times New Roman" w:cs="Times New Roman"/>
          <w:color w:val="000000" w:themeColor="text1"/>
          <w:kern w:val="2"/>
          <w:shd w:val="clear" w:color="auto" w:fill="FFFFFF"/>
        </w:rPr>
        <w:t>” offers various benefits like stable income stream, higher margins, and more efficient customer relations. But the capture of consumer data like personal information and purchase properties is another crucial factor in the “</w:t>
      </w:r>
      <w:proofErr w:type="spellStart"/>
      <w:r w:rsidR="00034035" w:rsidRPr="00070AB9">
        <w:rPr>
          <w:rFonts w:ascii="Times New Roman" w:eastAsia="Calibri" w:hAnsi="Times New Roman" w:cs="Times New Roman"/>
          <w:color w:val="000000" w:themeColor="text1"/>
          <w:kern w:val="2"/>
          <w:shd w:val="clear" w:color="auto" w:fill="FFFFFF"/>
        </w:rPr>
        <w:t>servitisation</w:t>
      </w:r>
      <w:proofErr w:type="spellEnd"/>
      <w:r w:rsidR="00034035" w:rsidRPr="00070AB9">
        <w:rPr>
          <w:rFonts w:ascii="Times New Roman" w:eastAsia="Calibri" w:hAnsi="Times New Roman" w:cs="Times New Roman"/>
          <w:color w:val="000000" w:themeColor="text1"/>
          <w:kern w:val="2"/>
          <w:shd w:val="clear" w:color="auto" w:fill="FFFFFF"/>
        </w:rPr>
        <w:t xml:space="preserve">” of consumer goods products. </w:t>
      </w:r>
      <w:r w:rsidR="00BF38E4" w:rsidRPr="00070AB9">
        <w:rPr>
          <w:rFonts w:ascii="Times New Roman" w:eastAsia="Calibri" w:hAnsi="Times New Roman" w:cs="Times New Roman"/>
          <w:color w:val="000000" w:themeColor="text1"/>
          <w:kern w:val="2"/>
          <w:shd w:val="clear" w:color="auto" w:fill="FFFFFF"/>
        </w:rPr>
        <w:t xml:space="preserve">Strong (2014) gives some examples of successful </w:t>
      </w:r>
      <w:proofErr w:type="spellStart"/>
      <w:r w:rsidR="00BF38E4" w:rsidRPr="00070AB9">
        <w:rPr>
          <w:rFonts w:ascii="Times New Roman" w:eastAsia="Calibri" w:hAnsi="Times New Roman" w:cs="Times New Roman"/>
          <w:color w:val="000000" w:themeColor="text1"/>
          <w:kern w:val="2"/>
          <w:shd w:val="clear" w:color="auto" w:fill="FFFFFF"/>
        </w:rPr>
        <w:t>servitisation</w:t>
      </w:r>
      <w:proofErr w:type="spellEnd"/>
      <w:r w:rsidR="00BF38E4" w:rsidRPr="00070AB9">
        <w:rPr>
          <w:rFonts w:ascii="Times New Roman" w:eastAsia="Calibri" w:hAnsi="Times New Roman" w:cs="Times New Roman"/>
          <w:color w:val="000000" w:themeColor="text1"/>
          <w:kern w:val="2"/>
          <w:shd w:val="clear" w:color="auto" w:fill="FFFFFF"/>
        </w:rPr>
        <w:t xml:space="preserve"> in the consumer goods sector. For example, a US firm, Dollar Shave Club, offers online subscriptions for deliveries of razors and other grooming products. Another firm, Graze, employ digital channels and social media platforms to promote its delivery of healthy snacks to customers. The companies can provide some </w:t>
      </w:r>
      <w:r w:rsidR="009D31BF" w:rsidRPr="00070AB9">
        <w:rPr>
          <w:rFonts w:ascii="Times New Roman" w:eastAsia="Calibri" w:hAnsi="Times New Roman" w:cs="Times New Roman"/>
          <w:color w:val="000000" w:themeColor="text1"/>
          <w:kern w:val="2"/>
          <w:shd w:val="clear" w:color="auto" w:fill="FFFFFF"/>
        </w:rPr>
        <w:t>motivations</w:t>
      </w:r>
      <w:r w:rsidR="00B97D57" w:rsidRPr="00070AB9">
        <w:rPr>
          <w:rFonts w:ascii="Times New Roman" w:eastAsia="Calibri" w:hAnsi="Times New Roman" w:cs="Times New Roman"/>
          <w:color w:val="000000" w:themeColor="text1"/>
          <w:kern w:val="2"/>
          <w:shd w:val="clear" w:color="auto" w:fill="FFFFFF"/>
        </w:rPr>
        <w:t xml:space="preserve"> (like sales, discounts, promotions, and campaigns)</w:t>
      </w:r>
      <w:r w:rsidR="009D31BF" w:rsidRPr="00070AB9">
        <w:rPr>
          <w:rFonts w:ascii="Times New Roman" w:eastAsia="Calibri" w:hAnsi="Times New Roman" w:cs="Times New Roman"/>
          <w:color w:val="000000" w:themeColor="text1"/>
          <w:kern w:val="2"/>
          <w:shd w:val="clear" w:color="auto" w:fill="FFFFFF"/>
        </w:rPr>
        <w:t xml:space="preserve"> to their consumers so that </w:t>
      </w:r>
      <w:r w:rsidR="00B97D57" w:rsidRPr="00070AB9">
        <w:rPr>
          <w:rFonts w:ascii="Times New Roman" w:eastAsia="Calibri" w:hAnsi="Times New Roman" w:cs="Times New Roman"/>
          <w:color w:val="000000" w:themeColor="text1"/>
          <w:kern w:val="2"/>
          <w:shd w:val="clear" w:color="auto" w:fill="FFFFFF"/>
        </w:rPr>
        <w:t>consumers would switch from the retail channels to the online channels of brands. In this way, consumer goods brands can establish a more direct link</w:t>
      </w:r>
      <w:r w:rsidR="00D734C8" w:rsidRPr="00070AB9">
        <w:rPr>
          <w:rFonts w:ascii="Times New Roman" w:eastAsia="Calibri" w:hAnsi="Times New Roman" w:cs="Times New Roman"/>
          <w:color w:val="000000" w:themeColor="text1"/>
          <w:kern w:val="2"/>
          <w:shd w:val="clear" w:color="auto" w:fill="FFFFFF"/>
        </w:rPr>
        <w:t xml:space="preserve"> to</w:t>
      </w:r>
      <w:r w:rsidR="00B97D57" w:rsidRPr="00070AB9">
        <w:rPr>
          <w:rFonts w:ascii="Times New Roman" w:eastAsia="Calibri" w:hAnsi="Times New Roman" w:cs="Times New Roman"/>
          <w:color w:val="000000" w:themeColor="text1"/>
          <w:kern w:val="2"/>
          <w:shd w:val="clear" w:color="auto" w:fill="FFFFFF"/>
        </w:rPr>
        <w:t xml:space="preserve"> their consumers and get access to very valuable data. </w:t>
      </w:r>
      <w:r w:rsidR="00D734C8" w:rsidRPr="00070AB9">
        <w:rPr>
          <w:rFonts w:ascii="Times New Roman" w:eastAsia="Calibri" w:hAnsi="Times New Roman" w:cs="Times New Roman"/>
          <w:color w:val="000000" w:themeColor="text1"/>
          <w:kern w:val="2"/>
          <w:shd w:val="clear" w:color="auto" w:fill="FFFFFF"/>
        </w:rPr>
        <w:t xml:space="preserve">Based on these discussions, it can be argued that the </w:t>
      </w:r>
      <w:proofErr w:type="spellStart"/>
      <w:r w:rsidR="00D734C8" w:rsidRPr="00070AB9">
        <w:rPr>
          <w:rFonts w:ascii="Times New Roman" w:eastAsia="Calibri" w:hAnsi="Times New Roman" w:cs="Times New Roman"/>
          <w:color w:val="000000" w:themeColor="text1"/>
          <w:kern w:val="2"/>
          <w:shd w:val="clear" w:color="auto" w:fill="FFFFFF"/>
        </w:rPr>
        <w:t>servitisation</w:t>
      </w:r>
      <w:proofErr w:type="spellEnd"/>
      <w:r w:rsidR="00D734C8" w:rsidRPr="00070AB9">
        <w:rPr>
          <w:rFonts w:ascii="Times New Roman" w:eastAsia="Calibri" w:hAnsi="Times New Roman" w:cs="Times New Roman"/>
          <w:color w:val="000000" w:themeColor="text1"/>
          <w:kern w:val="2"/>
          <w:shd w:val="clear" w:color="auto" w:fill="FFFFFF"/>
        </w:rPr>
        <w:t xml:space="preserve"> strategies can be a winning model to create additional value in the data economy. </w:t>
      </w:r>
    </w:p>
    <w:p w14:paraId="1F2F644D" w14:textId="0B010097" w:rsidR="004C4B41" w:rsidRDefault="001D37F0" w:rsidP="00FA7B21">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In a recent paper, </w:t>
      </w:r>
      <w:proofErr w:type="spellStart"/>
      <w:r w:rsidRPr="00070AB9">
        <w:rPr>
          <w:rFonts w:ascii="Times New Roman" w:eastAsia="Calibri" w:hAnsi="Times New Roman" w:cs="Times New Roman"/>
          <w:color w:val="000000" w:themeColor="text1"/>
          <w:kern w:val="2"/>
          <w:shd w:val="clear" w:color="auto" w:fill="FFFFFF"/>
        </w:rPr>
        <w:t>Lammi</w:t>
      </w:r>
      <w:proofErr w:type="spellEnd"/>
      <w:r w:rsidRPr="00070AB9">
        <w:rPr>
          <w:rFonts w:ascii="Times New Roman" w:eastAsia="Calibri" w:hAnsi="Times New Roman" w:cs="Times New Roman"/>
          <w:color w:val="000000" w:themeColor="text1"/>
          <w:kern w:val="2"/>
          <w:shd w:val="clear" w:color="auto" w:fill="FFFFFF"/>
        </w:rPr>
        <w:t xml:space="preserve"> and </w:t>
      </w:r>
      <w:proofErr w:type="spellStart"/>
      <w:r w:rsidRPr="00070AB9">
        <w:rPr>
          <w:rFonts w:ascii="Times New Roman" w:eastAsia="Calibri" w:hAnsi="Times New Roman" w:cs="Times New Roman"/>
          <w:color w:val="000000" w:themeColor="text1"/>
          <w:kern w:val="2"/>
          <w:shd w:val="clear" w:color="auto" w:fill="FFFFFF"/>
        </w:rPr>
        <w:t>Pantzar</w:t>
      </w:r>
      <w:proofErr w:type="spellEnd"/>
      <w:r w:rsidRPr="00070AB9">
        <w:rPr>
          <w:rFonts w:ascii="Times New Roman" w:eastAsia="Calibri" w:hAnsi="Times New Roman" w:cs="Times New Roman"/>
          <w:color w:val="000000" w:themeColor="text1"/>
          <w:kern w:val="2"/>
          <w:shd w:val="clear" w:color="auto" w:fill="FFFFFF"/>
        </w:rPr>
        <w:t xml:space="preserve"> (2019) argue that new technologies are producing revolutionary changes in business strategies and consumer relations. The authors state that the capitalist system moved from the era of consumer citizen to the era of data citizen. Figure 2 provides a graphical representation of the data citizen, which was supported by technological developments like </w:t>
      </w:r>
      <w:r w:rsidR="00D630C1" w:rsidRPr="00070AB9">
        <w:rPr>
          <w:rFonts w:ascii="Times New Roman" w:eastAsia="Calibri" w:hAnsi="Times New Roman" w:cs="Times New Roman"/>
          <w:color w:val="000000" w:themeColor="text1"/>
          <w:kern w:val="2"/>
          <w:shd w:val="clear" w:color="auto" w:fill="FFFFFF"/>
        </w:rPr>
        <w:t xml:space="preserve">the </w:t>
      </w:r>
      <w:r w:rsidRPr="00070AB9">
        <w:rPr>
          <w:rFonts w:ascii="Times New Roman" w:eastAsia="Calibri" w:hAnsi="Times New Roman" w:cs="Times New Roman"/>
          <w:color w:val="000000" w:themeColor="text1"/>
          <w:kern w:val="2"/>
          <w:shd w:val="clear" w:color="auto" w:fill="FFFFFF"/>
        </w:rPr>
        <w:t>internet, social media, new generation smartphones, and the application of technology to many services (such as the fusion of fi</w:t>
      </w:r>
      <w:r w:rsidR="00D630C1" w:rsidRPr="00070AB9">
        <w:rPr>
          <w:rFonts w:ascii="Times New Roman" w:eastAsia="Calibri" w:hAnsi="Times New Roman" w:cs="Times New Roman"/>
          <w:color w:val="000000" w:themeColor="text1"/>
          <w:kern w:val="2"/>
          <w:shd w:val="clear" w:color="auto" w:fill="FFFFFF"/>
        </w:rPr>
        <w:t>na</w:t>
      </w:r>
      <w:r w:rsidRPr="00070AB9">
        <w:rPr>
          <w:rFonts w:ascii="Times New Roman" w:eastAsia="Calibri" w:hAnsi="Times New Roman" w:cs="Times New Roman"/>
          <w:color w:val="000000" w:themeColor="text1"/>
          <w:kern w:val="2"/>
          <w:shd w:val="clear" w:color="auto" w:fill="FFFFFF"/>
        </w:rPr>
        <w:t xml:space="preserve">nce and technology as fintech). </w:t>
      </w:r>
      <w:r w:rsidR="00545F16" w:rsidRPr="00070AB9">
        <w:rPr>
          <w:rFonts w:ascii="Times New Roman" w:eastAsia="Calibri" w:hAnsi="Times New Roman" w:cs="Times New Roman"/>
          <w:color w:val="000000" w:themeColor="text1"/>
          <w:kern w:val="2"/>
          <w:shd w:val="clear" w:color="auto" w:fill="FFFFFF"/>
        </w:rPr>
        <w:t xml:space="preserve">As a result of these supportive factors, the new field of data economy emerged. </w:t>
      </w:r>
      <w:proofErr w:type="spellStart"/>
      <w:r w:rsidR="00545F16" w:rsidRPr="00070AB9">
        <w:rPr>
          <w:rFonts w:ascii="Times New Roman" w:eastAsia="Calibri" w:hAnsi="Times New Roman" w:cs="Times New Roman"/>
          <w:color w:val="000000" w:themeColor="text1"/>
          <w:kern w:val="2"/>
          <w:shd w:val="clear" w:color="auto" w:fill="FFFFFF"/>
        </w:rPr>
        <w:t>Lammi</w:t>
      </w:r>
      <w:proofErr w:type="spellEnd"/>
      <w:r w:rsidR="00545F16" w:rsidRPr="00070AB9">
        <w:rPr>
          <w:rFonts w:ascii="Times New Roman" w:eastAsia="Calibri" w:hAnsi="Times New Roman" w:cs="Times New Roman"/>
          <w:color w:val="000000" w:themeColor="text1"/>
          <w:kern w:val="2"/>
          <w:shd w:val="clear" w:color="auto" w:fill="FFFFFF"/>
        </w:rPr>
        <w:t xml:space="preserve"> and </w:t>
      </w:r>
      <w:proofErr w:type="spellStart"/>
      <w:r w:rsidR="00545F16" w:rsidRPr="00070AB9">
        <w:rPr>
          <w:rFonts w:ascii="Times New Roman" w:eastAsia="Calibri" w:hAnsi="Times New Roman" w:cs="Times New Roman"/>
          <w:color w:val="000000" w:themeColor="text1"/>
          <w:kern w:val="2"/>
          <w:shd w:val="clear" w:color="auto" w:fill="FFFFFF"/>
        </w:rPr>
        <w:t>Pantzar</w:t>
      </w:r>
      <w:proofErr w:type="spellEnd"/>
      <w:r w:rsidR="00545F16" w:rsidRPr="00070AB9">
        <w:rPr>
          <w:rFonts w:ascii="Times New Roman" w:eastAsia="Calibri" w:hAnsi="Times New Roman" w:cs="Times New Roman"/>
          <w:color w:val="000000" w:themeColor="text1"/>
          <w:kern w:val="2"/>
          <w:shd w:val="clear" w:color="auto" w:fill="FFFFFF"/>
        </w:rPr>
        <w:t xml:space="preserve"> (2019) ar</w:t>
      </w:r>
      <w:r w:rsidR="00116042" w:rsidRPr="00070AB9">
        <w:rPr>
          <w:rFonts w:ascii="Times New Roman" w:eastAsia="Calibri" w:hAnsi="Times New Roman" w:cs="Times New Roman"/>
          <w:color w:val="000000" w:themeColor="text1"/>
          <w:kern w:val="2"/>
          <w:shd w:val="clear" w:color="auto" w:fill="FFFFFF"/>
        </w:rPr>
        <w:t>gue</w:t>
      </w:r>
      <w:r w:rsidR="00545F16" w:rsidRPr="00070AB9">
        <w:rPr>
          <w:rFonts w:ascii="Times New Roman" w:eastAsia="Calibri" w:hAnsi="Times New Roman" w:cs="Times New Roman"/>
          <w:color w:val="000000" w:themeColor="text1"/>
          <w:kern w:val="2"/>
          <w:shd w:val="clear" w:color="auto" w:fill="FFFFFF"/>
        </w:rPr>
        <w:t xml:space="preserve"> that the data is the new and main commodity in the current era and the leading global firms like Google, Facebook, Twitter, and Instagram are based on their data capabilities. </w:t>
      </w:r>
      <w:r w:rsidR="00116042" w:rsidRPr="00070AB9">
        <w:rPr>
          <w:rFonts w:ascii="Times New Roman" w:eastAsia="Calibri" w:hAnsi="Times New Roman" w:cs="Times New Roman"/>
          <w:color w:val="000000" w:themeColor="text1"/>
          <w:kern w:val="2"/>
          <w:shd w:val="clear" w:color="auto" w:fill="FFFFFF"/>
        </w:rPr>
        <w:t>A major result of this transformation is that consumers are also empowered significantly (</w:t>
      </w:r>
      <w:proofErr w:type="spellStart"/>
      <w:r w:rsidR="00116042" w:rsidRPr="00070AB9">
        <w:rPr>
          <w:rFonts w:ascii="Times New Roman" w:eastAsia="Calibri" w:hAnsi="Times New Roman" w:cs="Times New Roman"/>
          <w:color w:val="000000" w:themeColor="text1"/>
          <w:kern w:val="2"/>
          <w:shd w:val="clear" w:color="auto" w:fill="FFFFFF"/>
        </w:rPr>
        <w:t>Wathieu</w:t>
      </w:r>
      <w:proofErr w:type="spellEnd"/>
      <w:r w:rsidR="00116042" w:rsidRPr="00070AB9">
        <w:rPr>
          <w:rFonts w:ascii="Times New Roman" w:eastAsia="Calibri" w:hAnsi="Times New Roman" w:cs="Times New Roman"/>
          <w:color w:val="000000" w:themeColor="text1"/>
          <w:kern w:val="2"/>
          <w:shd w:val="clear" w:color="auto" w:fill="FFFFFF"/>
        </w:rPr>
        <w:t xml:space="preserve"> et al., 2002; Wright et al., 2006; </w:t>
      </w:r>
      <w:proofErr w:type="spellStart"/>
      <w:r w:rsidR="00116042" w:rsidRPr="00070AB9">
        <w:rPr>
          <w:rFonts w:ascii="Times New Roman" w:eastAsia="Calibri" w:hAnsi="Times New Roman" w:cs="Times New Roman"/>
          <w:color w:val="000000" w:themeColor="text1"/>
          <w:kern w:val="2"/>
          <w:shd w:val="clear" w:color="auto" w:fill="FFFFFF"/>
        </w:rPr>
        <w:t>Füller</w:t>
      </w:r>
      <w:proofErr w:type="spellEnd"/>
      <w:r w:rsidR="00116042" w:rsidRPr="00070AB9">
        <w:rPr>
          <w:rFonts w:ascii="Times New Roman" w:eastAsia="Calibri" w:hAnsi="Times New Roman" w:cs="Times New Roman"/>
          <w:color w:val="000000" w:themeColor="text1"/>
          <w:kern w:val="2"/>
          <w:shd w:val="clear" w:color="auto" w:fill="FFFFFF"/>
        </w:rPr>
        <w:t xml:space="preserve"> et al., </w:t>
      </w:r>
      <w:proofErr w:type="gramStart"/>
      <w:r w:rsidR="00116042" w:rsidRPr="00070AB9">
        <w:rPr>
          <w:rFonts w:ascii="Times New Roman" w:eastAsia="Calibri" w:hAnsi="Times New Roman" w:cs="Times New Roman"/>
          <w:color w:val="000000" w:themeColor="text1"/>
          <w:kern w:val="2"/>
          <w:shd w:val="clear" w:color="auto" w:fill="FFFFFF"/>
        </w:rPr>
        <w:t>2009;  Pires</w:t>
      </w:r>
      <w:proofErr w:type="gramEnd"/>
      <w:r w:rsidR="00116042" w:rsidRPr="00070AB9">
        <w:rPr>
          <w:rFonts w:ascii="Times New Roman" w:eastAsia="Calibri" w:hAnsi="Times New Roman" w:cs="Times New Roman"/>
          <w:color w:val="000000" w:themeColor="text1"/>
          <w:kern w:val="2"/>
          <w:shd w:val="clear" w:color="auto" w:fill="FFFFFF"/>
        </w:rPr>
        <w:t xml:space="preserve"> et al., 2010; </w:t>
      </w:r>
      <w:proofErr w:type="spellStart"/>
      <w:r w:rsidR="00116042" w:rsidRPr="00070AB9">
        <w:rPr>
          <w:rFonts w:ascii="Times New Roman" w:eastAsia="Calibri" w:hAnsi="Times New Roman" w:cs="Times New Roman"/>
          <w:color w:val="000000" w:themeColor="text1"/>
          <w:kern w:val="2"/>
          <w:shd w:val="clear" w:color="auto" w:fill="FFFFFF"/>
        </w:rPr>
        <w:t>Yuksel</w:t>
      </w:r>
      <w:proofErr w:type="spellEnd"/>
      <w:r w:rsidR="00116042" w:rsidRPr="00070AB9">
        <w:rPr>
          <w:rFonts w:ascii="Times New Roman" w:eastAsia="Calibri" w:hAnsi="Times New Roman" w:cs="Times New Roman"/>
          <w:color w:val="000000" w:themeColor="text1"/>
          <w:kern w:val="2"/>
          <w:shd w:val="clear" w:color="auto" w:fill="FFFFFF"/>
        </w:rPr>
        <w:t xml:space="preserve"> et al., 2016). They produce information about brands on </w:t>
      </w:r>
      <w:r w:rsidR="00BD1215" w:rsidRPr="00070AB9">
        <w:rPr>
          <w:rFonts w:ascii="Times New Roman" w:eastAsia="Calibri" w:hAnsi="Times New Roman" w:cs="Times New Roman"/>
          <w:color w:val="000000" w:themeColor="text1"/>
          <w:kern w:val="2"/>
          <w:shd w:val="clear" w:color="auto" w:fill="FFFFFF"/>
        </w:rPr>
        <w:t xml:space="preserve">the </w:t>
      </w:r>
      <w:r w:rsidR="00116042" w:rsidRPr="00070AB9">
        <w:rPr>
          <w:rFonts w:ascii="Times New Roman" w:eastAsia="Calibri" w:hAnsi="Times New Roman" w:cs="Times New Roman"/>
          <w:color w:val="000000" w:themeColor="text1"/>
          <w:kern w:val="2"/>
          <w:shd w:val="clear" w:color="auto" w:fill="FFFFFF"/>
        </w:rPr>
        <w:t xml:space="preserve">internet and social </w:t>
      </w:r>
      <w:r w:rsidR="00BD1215" w:rsidRPr="00070AB9">
        <w:rPr>
          <w:rFonts w:ascii="Times New Roman" w:eastAsia="Calibri" w:hAnsi="Times New Roman" w:cs="Times New Roman"/>
          <w:color w:val="000000" w:themeColor="text1"/>
          <w:kern w:val="2"/>
          <w:shd w:val="clear" w:color="auto" w:fill="FFFFFF"/>
        </w:rPr>
        <w:t>media</w:t>
      </w:r>
      <w:r w:rsidR="00116042" w:rsidRPr="00070AB9">
        <w:rPr>
          <w:rFonts w:ascii="Times New Roman" w:eastAsia="Calibri" w:hAnsi="Times New Roman" w:cs="Times New Roman"/>
          <w:color w:val="000000" w:themeColor="text1"/>
          <w:kern w:val="2"/>
          <w:shd w:val="clear" w:color="auto" w:fill="FFFFFF"/>
        </w:rPr>
        <w:t xml:space="preserve"> platforms, and the digital word-of-mouth becomes very extensive and quick. </w:t>
      </w:r>
      <w:r w:rsidR="00140625" w:rsidRPr="00070AB9">
        <w:rPr>
          <w:rFonts w:ascii="Times New Roman" w:eastAsia="Calibri" w:hAnsi="Times New Roman" w:cs="Times New Roman"/>
          <w:color w:val="000000" w:themeColor="text1"/>
          <w:kern w:val="2"/>
          <w:shd w:val="clear" w:color="auto" w:fill="FFFFFF"/>
        </w:rPr>
        <w:t xml:space="preserve">Therefore, consumers gain the ability to affect the brand image of companies and the purchasing decisions of other consumers. </w:t>
      </w:r>
      <w:r w:rsidR="00CC5AD3" w:rsidRPr="00070AB9">
        <w:rPr>
          <w:rFonts w:ascii="Times New Roman" w:eastAsia="Calibri" w:hAnsi="Times New Roman" w:cs="Times New Roman"/>
          <w:color w:val="000000" w:themeColor="text1"/>
          <w:kern w:val="2"/>
          <w:shd w:val="clear" w:color="auto" w:fill="FFFFFF"/>
        </w:rPr>
        <w:lastRenderedPageBreak/>
        <w:t>Therefore, businesses should get involved in this process to be able to control their brand images and manage their consumer relations.</w:t>
      </w:r>
    </w:p>
    <w:p w14:paraId="408068DD" w14:textId="1943BA9F" w:rsidR="00070AB9" w:rsidRDefault="00070AB9" w:rsidP="00FA7B21">
      <w:pPr>
        <w:pStyle w:val="OBEBody"/>
        <w:rPr>
          <w:rFonts w:ascii="Times New Roman" w:eastAsia="Calibri" w:hAnsi="Times New Roman" w:cs="Times New Roman"/>
          <w:color w:val="000000" w:themeColor="text1"/>
          <w:kern w:val="2"/>
          <w:shd w:val="clear" w:color="auto" w:fill="FFFFFF"/>
        </w:rPr>
      </w:pPr>
    </w:p>
    <w:p w14:paraId="565B16C4" w14:textId="77777777" w:rsidR="00070AB9" w:rsidRPr="00070AB9" w:rsidRDefault="00070AB9" w:rsidP="00FA7B21">
      <w:pPr>
        <w:pStyle w:val="OBEBody"/>
        <w:rPr>
          <w:rFonts w:ascii="Times New Roman" w:eastAsia="Calibri" w:hAnsi="Times New Roman" w:cs="Times New Roman"/>
          <w:color w:val="000000" w:themeColor="text1"/>
          <w:kern w:val="2"/>
          <w:shd w:val="clear" w:color="auto" w:fill="FFFFFF"/>
        </w:rPr>
      </w:pPr>
    </w:p>
    <w:tbl>
      <w:tblPr>
        <w:tblStyle w:val="TableGrid"/>
        <w:tblW w:w="0" w:type="auto"/>
        <w:tblLook w:val="04A0" w:firstRow="1" w:lastRow="0" w:firstColumn="1" w:lastColumn="0" w:noHBand="0" w:noVBand="1"/>
      </w:tblPr>
      <w:tblGrid>
        <w:gridCol w:w="9016"/>
      </w:tblGrid>
      <w:tr w:rsidR="00070AB9" w:rsidRPr="00070AB9" w14:paraId="5A56B636" w14:textId="77777777" w:rsidTr="004C4B41">
        <w:tc>
          <w:tcPr>
            <w:tcW w:w="9016" w:type="dxa"/>
          </w:tcPr>
          <w:p w14:paraId="1E87C9D5" w14:textId="75DADF32" w:rsidR="004C4B41" w:rsidRPr="00070AB9" w:rsidRDefault="004C4B41" w:rsidP="00FA7B21">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Figure 2: Emergence of Data Citizen</w:t>
            </w:r>
          </w:p>
        </w:tc>
      </w:tr>
      <w:tr w:rsidR="00070AB9" w:rsidRPr="00070AB9" w14:paraId="4B9C3A09" w14:textId="77777777" w:rsidTr="004C4B41">
        <w:tc>
          <w:tcPr>
            <w:tcW w:w="9016" w:type="dxa"/>
          </w:tcPr>
          <w:p w14:paraId="4B991A8C" w14:textId="31BBA0E4" w:rsidR="004C4B41" w:rsidRPr="00070AB9" w:rsidRDefault="004C4B41" w:rsidP="00FA7B21">
            <w:pPr>
              <w:pStyle w:val="OBEBody"/>
              <w:rPr>
                <w:rFonts w:ascii="Times New Roman" w:eastAsia="Calibri" w:hAnsi="Times New Roman" w:cs="Times New Roman"/>
                <w:b/>
                <w:bCs/>
                <w:color w:val="000000" w:themeColor="text1"/>
                <w:kern w:val="2"/>
                <w:shd w:val="clear" w:color="auto" w:fill="FFFFFF"/>
              </w:rPr>
            </w:pPr>
            <w:r w:rsidRPr="00070AB9">
              <w:rPr>
                <w:rFonts w:ascii="Times New Roman" w:hAnsi="Times New Roman" w:cs="Times New Roman"/>
                <w:b/>
                <w:bCs/>
                <w:noProof/>
                <w:color w:val="000000" w:themeColor="text1"/>
                <w:lang w:eastAsia="en-GB"/>
              </w:rPr>
              <w:drawing>
                <wp:inline distT="0" distB="0" distL="0" distR="0" wp14:anchorId="0F7AD8FC" wp14:editId="2ACAEC2E">
                  <wp:extent cx="5635651" cy="2697480"/>
                  <wp:effectExtent l="0" t="0" r="3175" b="7620"/>
                  <wp:docPr id="1" name="Resim 1" descr="https://ars.els-cdn.com/content/image/1-s2.0-S0160791X19300569-fx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s.els-cdn.com/content/image/1-s2.0-S0160791X19300569-fx1_lr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2646" cy="2705615"/>
                          </a:xfrm>
                          <a:prstGeom prst="rect">
                            <a:avLst/>
                          </a:prstGeom>
                          <a:noFill/>
                          <a:ln>
                            <a:noFill/>
                          </a:ln>
                        </pic:spPr>
                      </pic:pic>
                    </a:graphicData>
                  </a:graphic>
                </wp:inline>
              </w:drawing>
            </w:r>
          </w:p>
        </w:tc>
      </w:tr>
      <w:tr w:rsidR="004C4B41" w:rsidRPr="00070AB9" w14:paraId="05CB4EE6" w14:textId="77777777" w:rsidTr="004C4B41">
        <w:tc>
          <w:tcPr>
            <w:tcW w:w="9016" w:type="dxa"/>
          </w:tcPr>
          <w:p w14:paraId="436B488E" w14:textId="1D4C5977" w:rsidR="004C4B41" w:rsidRPr="00070AB9" w:rsidRDefault="004C4B41" w:rsidP="00FA7B21">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 xml:space="preserve">Source: </w:t>
            </w:r>
            <w:proofErr w:type="spellStart"/>
            <w:r w:rsidR="0084055D" w:rsidRPr="00070AB9">
              <w:rPr>
                <w:rFonts w:ascii="Times New Roman" w:eastAsia="Calibri" w:hAnsi="Times New Roman" w:cs="Times New Roman"/>
                <w:b/>
                <w:bCs/>
                <w:color w:val="000000" w:themeColor="text1"/>
                <w:kern w:val="2"/>
                <w:shd w:val="clear" w:color="auto" w:fill="FFFFFF"/>
              </w:rPr>
              <w:t>Lammi</w:t>
            </w:r>
            <w:proofErr w:type="spellEnd"/>
            <w:r w:rsidR="0084055D" w:rsidRPr="00070AB9">
              <w:rPr>
                <w:rFonts w:ascii="Times New Roman" w:eastAsia="Calibri" w:hAnsi="Times New Roman" w:cs="Times New Roman"/>
                <w:b/>
                <w:bCs/>
                <w:color w:val="000000" w:themeColor="text1"/>
                <w:kern w:val="2"/>
                <w:shd w:val="clear" w:color="auto" w:fill="FFFFFF"/>
              </w:rPr>
              <w:t xml:space="preserve"> and </w:t>
            </w:r>
            <w:proofErr w:type="spellStart"/>
            <w:r w:rsidR="0084055D" w:rsidRPr="00070AB9">
              <w:rPr>
                <w:rFonts w:ascii="Times New Roman" w:eastAsia="Calibri" w:hAnsi="Times New Roman" w:cs="Times New Roman"/>
                <w:b/>
                <w:bCs/>
                <w:color w:val="000000" w:themeColor="text1"/>
                <w:kern w:val="2"/>
                <w:shd w:val="clear" w:color="auto" w:fill="FFFFFF"/>
              </w:rPr>
              <w:t>Pantzar</w:t>
            </w:r>
            <w:proofErr w:type="spellEnd"/>
            <w:r w:rsidR="0084055D" w:rsidRPr="00070AB9">
              <w:rPr>
                <w:rFonts w:ascii="Times New Roman" w:eastAsia="Calibri" w:hAnsi="Times New Roman" w:cs="Times New Roman"/>
                <w:b/>
                <w:bCs/>
                <w:color w:val="000000" w:themeColor="text1"/>
                <w:kern w:val="2"/>
                <w:shd w:val="clear" w:color="auto" w:fill="FFFFFF"/>
              </w:rPr>
              <w:t xml:space="preserve"> (2019). </w:t>
            </w:r>
          </w:p>
        </w:tc>
      </w:tr>
    </w:tbl>
    <w:p w14:paraId="422F74CF" w14:textId="4D4847EF" w:rsidR="004C4B41" w:rsidRPr="00070AB9" w:rsidRDefault="004C4B41" w:rsidP="00FA7B21">
      <w:pPr>
        <w:pStyle w:val="OBEBody"/>
        <w:rPr>
          <w:rFonts w:ascii="Times New Roman" w:eastAsia="Calibri" w:hAnsi="Times New Roman" w:cs="Times New Roman"/>
          <w:b/>
          <w:bCs/>
          <w:color w:val="000000" w:themeColor="text1"/>
          <w:kern w:val="2"/>
          <w:shd w:val="clear" w:color="auto" w:fill="FFFFFF"/>
        </w:rPr>
      </w:pPr>
    </w:p>
    <w:p w14:paraId="68FC6D0B" w14:textId="7F852F19" w:rsidR="00F15585" w:rsidRDefault="00EA3500" w:rsidP="00FA7B21">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Based on the above discussions, </w:t>
      </w:r>
      <w:r w:rsidR="00225E67" w:rsidRPr="00070AB9">
        <w:rPr>
          <w:rFonts w:ascii="Times New Roman" w:eastAsia="Calibri" w:hAnsi="Times New Roman" w:cs="Times New Roman"/>
          <w:color w:val="000000" w:themeColor="text1"/>
          <w:kern w:val="2"/>
          <w:shd w:val="clear" w:color="auto" w:fill="FFFFFF"/>
        </w:rPr>
        <w:t>it can be argued that “data economy” will be the new business model in the digital age (</w:t>
      </w:r>
      <w:r w:rsidR="00084DA5" w:rsidRPr="00070AB9">
        <w:rPr>
          <w:rFonts w:ascii="Times New Roman" w:eastAsia="Calibri" w:hAnsi="Times New Roman" w:cs="Times New Roman"/>
          <w:color w:val="000000" w:themeColor="text1"/>
          <w:kern w:val="2"/>
          <w:shd w:val="clear" w:color="auto" w:fill="FFFFFF"/>
        </w:rPr>
        <w:t xml:space="preserve">Otto and </w:t>
      </w:r>
      <w:proofErr w:type="spellStart"/>
      <w:r w:rsidR="00084DA5" w:rsidRPr="00070AB9">
        <w:rPr>
          <w:rFonts w:ascii="Times New Roman" w:eastAsia="Calibri" w:hAnsi="Times New Roman" w:cs="Times New Roman"/>
          <w:color w:val="000000" w:themeColor="text1"/>
          <w:kern w:val="2"/>
          <w:shd w:val="clear" w:color="auto" w:fill="FFFFFF"/>
        </w:rPr>
        <w:t>Aier</w:t>
      </w:r>
      <w:proofErr w:type="spellEnd"/>
      <w:r w:rsidR="00084DA5" w:rsidRPr="00070AB9">
        <w:rPr>
          <w:rFonts w:ascii="Times New Roman" w:eastAsia="Calibri" w:hAnsi="Times New Roman" w:cs="Times New Roman"/>
          <w:color w:val="000000" w:themeColor="text1"/>
          <w:kern w:val="2"/>
          <w:shd w:val="clear" w:color="auto" w:fill="FFFFFF"/>
        </w:rPr>
        <w:t xml:space="preserve">, 2013; </w:t>
      </w:r>
      <w:r w:rsidR="00AC6EB6" w:rsidRPr="00070AB9">
        <w:rPr>
          <w:rFonts w:ascii="Times New Roman" w:eastAsia="Calibri" w:hAnsi="Times New Roman" w:cs="Times New Roman"/>
          <w:color w:val="000000" w:themeColor="text1"/>
          <w:kern w:val="2"/>
          <w:shd w:val="clear" w:color="auto" w:fill="FFFFFF"/>
        </w:rPr>
        <w:t xml:space="preserve">Allen, 2016; </w:t>
      </w:r>
      <w:proofErr w:type="spellStart"/>
      <w:r w:rsidR="00AC6EB6" w:rsidRPr="00070AB9">
        <w:rPr>
          <w:rFonts w:ascii="Times New Roman" w:eastAsia="Calibri" w:hAnsi="Times New Roman" w:cs="Times New Roman"/>
          <w:color w:val="000000" w:themeColor="text1"/>
          <w:kern w:val="2"/>
          <w:shd w:val="clear" w:color="auto" w:fill="FFFFFF"/>
        </w:rPr>
        <w:t>Zech</w:t>
      </w:r>
      <w:proofErr w:type="spellEnd"/>
      <w:r w:rsidR="00AC6EB6" w:rsidRPr="00070AB9">
        <w:rPr>
          <w:rFonts w:ascii="Times New Roman" w:eastAsia="Calibri" w:hAnsi="Times New Roman" w:cs="Times New Roman"/>
          <w:color w:val="000000" w:themeColor="text1"/>
          <w:kern w:val="2"/>
          <w:shd w:val="clear" w:color="auto" w:fill="FFFFFF"/>
        </w:rPr>
        <w:t xml:space="preserve">, 2016; </w:t>
      </w:r>
      <w:proofErr w:type="spellStart"/>
      <w:r w:rsidR="00AC6EB6" w:rsidRPr="00070AB9">
        <w:rPr>
          <w:rFonts w:ascii="Times New Roman" w:eastAsia="Calibri" w:hAnsi="Times New Roman" w:cs="Times New Roman"/>
          <w:color w:val="000000" w:themeColor="text1"/>
          <w:kern w:val="2"/>
          <w:shd w:val="clear" w:color="auto" w:fill="FFFFFF"/>
        </w:rPr>
        <w:t>Elvy</w:t>
      </w:r>
      <w:proofErr w:type="spellEnd"/>
      <w:r w:rsidR="00AC6EB6" w:rsidRPr="00070AB9">
        <w:rPr>
          <w:rFonts w:ascii="Times New Roman" w:eastAsia="Calibri" w:hAnsi="Times New Roman" w:cs="Times New Roman"/>
          <w:color w:val="000000" w:themeColor="text1"/>
          <w:kern w:val="2"/>
          <w:shd w:val="clear" w:color="auto" w:fill="FFFFFF"/>
        </w:rPr>
        <w:t xml:space="preserve">, 2017; </w:t>
      </w:r>
      <w:proofErr w:type="spellStart"/>
      <w:r w:rsidR="00FF4D7A" w:rsidRPr="00070AB9">
        <w:rPr>
          <w:rFonts w:ascii="Times New Roman" w:eastAsia="Calibri" w:hAnsi="Times New Roman" w:cs="Times New Roman"/>
          <w:color w:val="000000" w:themeColor="text1"/>
          <w:kern w:val="2"/>
          <w:shd w:val="clear" w:color="auto" w:fill="FFFFFF"/>
        </w:rPr>
        <w:t>Opher</w:t>
      </w:r>
      <w:proofErr w:type="spellEnd"/>
      <w:r w:rsidR="00FF4D7A" w:rsidRPr="00070AB9">
        <w:rPr>
          <w:rFonts w:ascii="Times New Roman" w:eastAsia="Calibri" w:hAnsi="Times New Roman" w:cs="Times New Roman"/>
          <w:color w:val="000000" w:themeColor="text1"/>
          <w:kern w:val="2"/>
          <w:shd w:val="clear" w:color="auto" w:fill="FFFFFF"/>
        </w:rPr>
        <w:t xml:space="preserve"> et al., 2016)</w:t>
      </w:r>
      <w:r w:rsidR="00225E67" w:rsidRPr="00070AB9">
        <w:rPr>
          <w:rFonts w:ascii="Times New Roman" w:eastAsia="Calibri" w:hAnsi="Times New Roman" w:cs="Times New Roman"/>
          <w:color w:val="000000" w:themeColor="text1"/>
          <w:kern w:val="2"/>
          <w:shd w:val="clear" w:color="auto" w:fill="FFFFFF"/>
        </w:rPr>
        <w:t xml:space="preserve">. According to McCallum and Gleason, 2013), “modern businesses see data as a gold mine” (p.1). </w:t>
      </w:r>
      <w:r w:rsidR="00556E30" w:rsidRPr="00070AB9">
        <w:rPr>
          <w:rFonts w:ascii="Times New Roman" w:eastAsia="Calibri" w:hAnsi="Times New Roman" w:cs="Times New Roman"/>
          <w:color w:val="000000" w:themeColor="text1"/>
          <w:kern w:val="2"/>
          <w:shd w:val="clear" w:color="auto" w:fill="FFFFFF"/>
        </w:rPr>
        <w:t xml:space="preserve">These authors argue that a successful business model within the context of the data economy would involve the following sequential steps: collect, hold, filter, enhance, simplify access, obscure, and advise. </w:t>
      </w:r>
      <w:r w:rsidR="008B0E30" w:rsidRPr="00070AB9">
        <w:rPr>
          <w:rFonts w:ascii="Times New Roman" w:eastAsia="Calibri" w:hAnsi="Times New Roman" w:cs="Times New Roman"/>
          <w:color w:val="000000" w:themeColor="text1"/>
          <w:kern w:val="2"/>
          <w:shd w:val="clear" w:color="auto" w:fill="FFFFFF"/>
        </w:rPr>
        <w:t xml:space="preserve">Overall, these studies show that </w:t>
      </w:r>
      <w:r w:rsidR="00603CD8" w:rsidRPr="00070AB9">
        <w:rPr>
          <w:rFonts w:ascii="Times New Roman" w:eastAsia="Calibri" w:hAnsi="Times New Roman" w:cs="Times New Roman"/>
          <w:color w:val="000000" w:themeColor="text1"/>
          <w:kern w:val="2"/>
          <w:shd w:val="clear" w:color="auto" w:fill="FFFFFF"/>
        </w:rPr>
        <w:t xml:space="preserve">the </w:t>
      </w:r>
      <w:r w:rsidR="008B0E30" w:rsidRPr="00070AB9">
        <w:rPr>
          <w:rFonts w:ascii="Times New Roman" w:eastAsia="Calibri" w:hAnsi="Times New Roman" w:cs="Times New Roman"/>
          <w:color w:val="000000" w:themeColor="text1"/>
          <w:kern w:val="2"/>
          <w:shd w:val="clear" w:color="auto" w:fill="FFFFFF"/>
        </w:rPr>
        <w:t xml:space="preserve">data economy and </w:t>
      </w:r>
      <w:proofErr w:type="spellStart"/>
      <w:r w:rsidR="008B0E30" w:rsidRPr="00070AB9">
        <w:rPr>
          <w:rFonts w:ascii="Times New Roman" w:eastAsia="Calibri" w:hAnsi="Times New Roman" w:cs="Times New Roman"/>
          <w:color w:val="000000" w:themeColor="text1"/>
          <w:kern w:val="2"/>
          <w:shd w:val="clear" w:color="auto" w:fill="FFFFFF"/>
        </w:rPr>
        <w:t>servitisation</w:t>
      </w:r>
      <w:proofErr w:type="spellEnd"/>
      <w:r w:rsidR="008B0E30" w:rsidRPr="00070AB9">
        <w:rPr>
          <w:rFonts w:ascii="Times New Roman" w:eastAsia="Calibri" w:hAnsi="Times New Roman" w:cs="Times New Roman"/>
          <w:color w:val="000000" w:themeColor="text1"/>
          <w:kern w:val="2"/>
          <w:shd w:val="clear" w:color="auto" w:fill="FFFFFF"/>
        </w:rPr>
        <w:t xml:space="preserve"> can present important opportunities </w:t>
      </w:r>
      <w:r w:rsidR="00603CD8" w:rsidRPr="00070AB9">
        <w:rPr>
          <w:rFonts w:ascii="Times New Roman" w:eastAsia="Calibri" w:hAnsi="Times New Roman" w:cs="Times New Roman"/>
          <w:color w:val="000000" w:themeColor="text1"/>
          <w:kern w:val="2"/>
          <w:shd w:val="clear" w:color="auto" w:fill="FFFFFF"/>
        </w:rPr>
        <w:t>for</w:t>
      </w:r>
      <w:r w:rsidR="008B0E30" w:rsidRPr="00070AB9">
        <w:rPr>
          <w:rFonts w:ascii="Times New Roman" w:eastAsia="Calibri" w:hAnsi="Times New Roman" w:cs="Times New Roman"/>
          <w:color w:val="000000" w:themeColor="text1"/>
          <w:kern w:val="2"/>
          <w:shd w:val="clear" w:color="auto" w:fill="FFFFFF"/>
        </w:rPr>
        <w:t xml:space="preserve"> the consumer goods sector. </w:t>
      </w:r>
    </w:p>
    <w:p w14:paraId="336CC061" w14:textId="6E1D0B19" w:rsidR="00070AB9" w:rsidRDefault="00070AB9" w:rsidP="00FA7B21">
      <w:pPr>
        <w:pStyle w:val="OBEBody"/>
        <w:rPr>
          <w:rFonts w:ascii="Times New Roman" w:eastAsia="Calibri" w:hAnsi="Times New Roman" w:cs="Times New Roman"/>
          <w:color w:val="000000" w:themeColor="text1"/>
          <w:kern w:val="2"/>
          <w:shd w:val="clear" w:color="auto" w:fill="FFFFFF"/>
        </w:rPr>
      </w:pPr>
    </w:p>
    <w:p w14:paraId="6B3FB152" w14:textId="05827EB8" w:rsidR="00070AB9" w:rsidRDefault="00070AB9" w:rsidP="00FA7B21">
      <w:pPr>
        <w:pStyle w:val="OBEBody"/>
        <w:rPr>
          <w:rFonts w:ascii="Times New Roman" w:eastAsia="Calibri" w:hAnsi="Times New Roman" w:cs="Times New Roman"/>
          <w:color w:val="000000" w:themeColor="text1"/>
          <w:kern w:val="2"/>
          <w:shd w:val="clear" w:color="auto" w:fill="FFFFFF"/>
        </w:rPr>
      </w:pPr>
    </w:p>
    <w:p w14:paraId="7A4409EB" w14:textId="77777777" w:rsidR="00070AB9" w:rsidRPr="00070AB9" w:rsidRDefault="00070AB9" w:rsidP="00FA7B21">
      <w:pPr>
        <w:pStyle w:val="OBEBody"/>
        <w:rPr>
          <w:rFonts w:ascii="Times New Roman" w:eastAsia="Calibri" w:hAnsi="Times New Roman" w:cs="Times New Roman"/>
          <w:color w:val="000000" w:themeColor="text1"/>
          <w:kern w:val="2"/>
          <w:shd w:val="clear" w:color="auto" w:fill="FFFFFF"/>
        </w:rPr>
      </w:pPr>
    </w:p>
    <w:p w14:paraId="734DF555" w14:textId="277BEA4B" w:rsidR="00603CD8" w:rsidRPr="00070AB9" w:rsidRDefault="00310550" w:rsidP="00310550">
      <w:pPr>
        <w:pStyle w:val="OBESubtitle1sttier"/>
        <w:numPr>
          <w:ilvl w:val="0"/>
          <w:numId w:val="16"/>
        </w:numPr>
        <w:rPr>
          <w:rFonts w:ascii="Times New Roman" w:eastAsia="Calibri" w:hAnsi="Times New Roman" w:cs="Times New Roman"/>
          <w:b/>
          <w:bCs/>
          <w:color w:val="000000" w:themeColor="text1"/>
          <w:sz w:val="28"/>
          <w:szCs w:val="28"/>
          <w:shd w:val="clear" w:color="auto" w:fill="FFFFFF"/>
        </w:rPr>
      </w:pPr>
      <w:r w:rsidRPr="00070AB9">
        <w:rPr>
          <w:rFonts w:ascii="Times New Roman" w:eastAsia="Calibri" w:hAnsi="Times New Roman" w:cs="Times New Roman"/>
          <w:b/>
          <w:bCs/>
          <w:color w:val="000000" w:themeColor="text1"/>
          <w:sz w:val="28"/>
          <w:szCs w:val="28"/>
          <w:shd w:val="clear" w:color="auto" w:fill="FFFFFF"/>
        </w:rPr>
        <w:lastRenderedPageBreak/>
        <w:t>Methodology</w:t>
      </w:r>
    </w:p>
    <w:p w14:paraId="14BB86E9" w14:textId="5B93C027" w:rsidR="00070AB9" w:rsidRDefault="00396237" w:rsidP="00070AB9">
      <w:pPr>
        <w:pStyle w:val="OBESubtitle2ndtier"/>
        <w:numPr>
          <w:ilvl w:val="1"/>
          <w:numId w:val="16"/>
        </w:numPr>
        <w:rPr>
          <w:rFonts w:ascii="Times New Roman" w:eastAsia="Calibri" w:hAnsi="Times New Roman" w:cs="Times New Roman"/>
          <w:b/>
          <w:bCs/>
          <w:i w:val="0"/>
          <w:szCs w:val="28"/>
          <w:shd w:val="clear" w:color="auto" w:fill="FFFFFF"/>
        </w:rPr>
      </w:pPr>
      <w:r w:rsidRPr="00070AB9">
        <w:rPr>
          <w:rFonts w:ascii="Times New Roman" w:eastAsia="Calibri" w:hAnsi="Times New Roman" w:cs="Times New Roman"/>
          <w:b/>
          <w:bCs/>
          <w:i w:val="0"/>
          <w:szCs w:val="28"/>
          <w:shd w:val="clear" w:color="auto" w:fill="FFFFFF"/>
        </w:rPr>
        <w:t xml:space="preserve">Research </w:t>
      </w:r>
      <w:r w:rsidR="00C4798F" w:rsidRPr="00070AB9">
        <w:rPr>
          <w:rFonts w:ascii="Times New Roman" w:eastAsia="Calibri" w:hAnsi="Times New Roman" w:cs="Times New Roman"/>
          <w:b/>
          <w:bCs/>
          <w:i w:val="0"/>
          <w:szCs w:val="28"/>
          <w:shd w:val="clear" w:color="auto" w:fill="FFFFFF"/>
        </w:rPr>
        <w:t>Methodology</w:t>
      </w:r>
    </w:p>
    <w:p w14:paraId="4E3F8B68" w14:textId="77777777" w:rsidR="00070AB9" w:rsidRPr="00070AB9" w:rsidRDefault="00070AB9" w:rsidP="00070AB9">
      <w:pPr>
        <w:pStyle w:val="OBESubtitle2ndtier"/>
        <w:ind w:left="1080"/>
        <w:rPr>
          <w:rFonts w:ascii="Times New Roman" w:eastAsia="Calibri" w:hAnsi="Times New Roman" w:cs="Times New Roman"/>
          <w:b/>
          <w:bCs/>
          <w:i w:val="0"/>
          <w:szCs w:val="28"/>
          <w:shd w:val="clear" w:color="auto" w:fill="FFFFFF"/>
        </w:rPr>
      </w:pPr>
    </w:p>
    <w:p w14:paraId="2F4E1325" w14:textId="30CF6757" w:rsidR="00396237" w:rsidRPr="00070AB9" w:rsidRDefault="00342D88"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The research philosophy and approach are important </w:t>
      </w:r>
      <w:r w:rsidR="0088758E" w:rsidRPr="00070AB9">
        <w:rPr>
          <w:rFonts w:ascii="Times New Roman" w:eastAsia="Calibri" w:hAnsi="Times New Roman" w:cs="Times New Roman"/>
          <w:color w:val="000000" w:themeColor="text1"/>
          <w:kern w:val="2"/>
          <w:shd w:val="clear" w:color="auto" w:fill="FFFFFF"/>
        </w:rPr>
        <w:t xml:space="preserve">dimensions of conducting scientific research </w:t>
      </w:r>
      <w:r w:rsidR="002D084C" w:rsidRPr="00070AB9">
        <w:rPr>
          <w:rFonts w:ascii="Times New Roman" w:eastAsia="Calibri" w:hAnsi="Times New Roman" w:cs="Times New Roman"/>
          <w:color w:val="000000" w:themeColor="text1"/>
          <w:kern w:val="2"/>
          <w:shd w:val="clear" w:color="auto" w:fill="FFFFFF"/>
        </w:rPr>
        <w:t xml:space="preserve">activities in both natural and social sciences (Saunders et al., 2015; Hair, 2015). </w:t>
      </w:r>
      <w:r w:rsidR="00D54699" w:rsidRPr="00070AB9">
        <w:rPr>
          <w:rFonts w:ascii="Times New Roman" w:eastAsia="Calibri" w:hAnsi="Times New Roman" w:cs="Times New Roman"/>
          <w:color w:val="000000" w:themeColor="text1"/>
          <w:kern w:val="2"/>
          <w:shd w:val="clear" w:color="auto" w:fill="FFFFFF"/>
        </w:rPr>
        <w:t xml:space="preserve">In the </w:t>
      </w:r>
      <w:r w:rsidR="00896F80" w:rsidRPr="00070AB9">
        <w:rPr>
          <w:rFonts w:ascii="Times New Roman" w:eastAsia="Calibri" w:hAnsi="Times New Roman" w:cs="Times New Roman"/>
          <w:color w:val="000000" w:themeColor="text1"/>
          <w:kern w:val="2"/>
          <w:shd w:val="clear" w:color="auto" w:fill="FFFFFF"/>
        </w:rPr>
        <w:t xml:space="preserve">research philosophy dimension, positivism and interpretivism are the common philosophies. The positivism argues that there is a reality (like physical/natural reality or social reality) independent of </w:t>
      </w:r>
      <w:r w:rsidR="00D92B88" w:rsidRPr="00070AB9">
        <w:rPr>
          <w:rFonts w:ascii="Times New Roman" w:eastAsia="Calibri" w:hAnsi="Times New Roman" w:cs="Times New Roman"/>
          <w:color w:val="000000" w:themeColor="text1"/>
          <w:kern w:val="2"/>
          <w:shd w:val="clear" w:color="auto" w:fill="FFFFFF"/>
        </w:rPr>
        <w:t xml:space="preserve">researchers or observers, and the researchers can obtain its </w:t>
      </w:r>
      <w:r w:rsidR="00977317" w:rsidRPr="00070AB9">
        <w:rPr>
          <w:rFonts w:ascii="Times New Roman" w:eastAsia="Calibri" w:hAnsi="Times New Roman" w:cs="Times New Roman"/>
          <w:color w:val="000000" w:themeColor="text1"/>
          <w:kern w:val="2"/>
          <w:shd w:val="clear" w:color="auto" w:fill="FFFFFF"/>
        </w:rPr>
        <w:t xml:space="preserve">information through scientific methods like experiments and data analysis. </w:t>
      </w:r>
      <w:r w:rsidR="00F71860" w:rsidRPr="00070AB9">
        <w:rPr>
          <w:rFonts w:ascii="Times New Roman" w:eastAsia="Calibri" w:hAnsi="Times New Roman" w:cs="Times New Roman"/>
          <w:color w:val="000000" w:themeColor="text1"/>
          <w:kern w:val="2"/>
          <w:shd w:val="clear" w:color="auto" w:fill="FFFFFF"/>
        </w:rPr>
        <w:t xml:space="preserve">In the process, the researchers would derive some theories and facts for the relevant realities. </w:t>
      </w:r>
      <w:r w:rsidR="00F83ACD" w:rsidRPr="00070AB9">
        <w:rPr>
          <w:rFonts w:ascii="Times New Roman" w:eastAsia="Calibri" w:hAnsi="Times New Roman" w:cs="Times New Roman"/>
          <w:color w:val="000000" w:themeColor="text1"/>
          <w:kern w:val="2"/>
          <w:shd w:val="clear" w:color="auto" w:fill="FFFFFF"/>
        </w:rPr>
        <w:t xml:space="preserve">Then, the following research process would start from these theories and facts and try to confirm or reject them using the new data, information, and cases. In contrast, the interpretivist research philosophy would assume that reality might be subjective and be affected by the perspectives of the researchers and observers. </w:t>
      </w:r>
      <w:r w:rsidR="00011D84" w:rsidRPr="00070AB9">
        <w:rPr>
          <w:rFonts w:ascii="Times New Roman" w:eastAsia="Calibri" w:hAnsi="Times New Roman" w:cs="Times New Roman"/>
          <w:color w:val="000000" w:themeColor="text1"/>
          <w:kern w:val="2"/>
          <w:shd w:val="clear" w:color="auto" w:fill="FFFFFF"/>
        </w:rPr>
        <w:t xml:space="preserve">Then, the researchers would try to </w:t>
      </w:r>
      <w:r w:rsidR="007E728F" w:rsidRPr="00070AB9">
        <w:rPr>
          <w:rFonts w:ascii="Times New Roman" w:eastAsia="Calibri" w:hAnsi="Times New Roman" w:cs="Times New Roman"/>
          <w:color w:val="000000" w:themeColor="text1"/>
          <w:kern w:val="2"/>
          <w:shd w:val="clear" w:color="auto" w:fill="FFFFFF"/>
        </w:rPr>
        <w:t xml:space="preserve">explore the new data, information, and cases in order to identify some causal relationships in the data. For the case of the current research, both philosophies are relevant. There are two parts of this research. The first part examines the </w:t>
      </w:r>
      <w:r w:rsidR="00CD7AE7" w:rsidRPr="00070AB9">
        <w:rPr>
          <w:rFonts w:ascii="Times New Roman" w:eastAsia="Calibri" w:hAnsi="Times New Roman" w:cs="Times New Roman"/>
          <w:color w:val="000000" w:themeColor="text1"/>
          <w:kern w:val="2"/>
          <w:shd w:val="clear" w:color="auto" w:fill="FFFFFF"/>
        </w:rPr>
        <w:t xml:space="preserve">characteristics and dynamics of the consumer goods sector in the UK. So, for this part, a positivist research philosophy becomes more relevant. Then, the second part provides some analytical discussions on the </w:t>
      </w:r>
      <w:r w:rsidR="00BB1E63" w:rsidRPr="00070AB9">
        <w:rPr>
          <w:rFonts w:ascii="Times New Roman" w:eastAsia="Calibri" w:hAnsi="Times New Roman" w:cs="Times New Roman"/>
          <w:color w:val="000000" w:themeColor="text1"/>
          <w:kern w:val="2"/>
          <w:shd w:val="clear" w:color="auto" w:fill="FFFFFF"/>
        </w:rPr>
        <w:t xml:space="preserve">winning model of </w:t>
      </w:r>
      <w:r w:rsidR="00C25ACD" w:rsidRPr="00070AB9">
        <w:rPr>
          <w:rFonts w:ascii="Times New Roman" w:eastAsia="Calibri" w:hAnsi="Times New Roman" w:cs="Times New Roman"/>
          <w:color w:val="000000" w:themeColor="text1"/>
          <w:kern w:val="2"/>
          <w:shd w:val="clear" w:color="auto" w:fill="FFFFFF"/>
        </w:rPr>
        <w:t xml:space="preserve">the </w:t>
      </w:r>
      <w:r w:rsidR="00BB1E63" w:rsidRPr="00070AB9">
        <w:rPr>
          <w:rFonts w:ascii="Times New Roman" w:eastAsia="Calibri" w:hAnsi="Times New Roman" w:cs="Times New Roman"/>
          <w:color w:val="000000" w:themeColor="text1"/>
          <w:kern w:val="2"/>
          <w:shd w:val="clear" w:color="auto" w:fill="FFFFFF"/>
        </w:rPr>
        <w:t xml:space="preserve">data economy for consumer goods. As this topic is very recent and involves subjective judgements, </w:t>
      </w:r>
      <w:r w:rsidR="00C25ACD" w:rsidRPr="00070AB9">
        <w:rPr>
          <w:rFonts w:ascii="Times New Roman" w:eastAsia="Calibri" w:hAnsi="Times New Roman" w:cs="Times New Roman"/>
          <w:color w:val="000000" w:themeColor="text1"/>
          <w:kern w:val="2"/>
          <w:shd w:val="clear" w:color="auto" w:fill="FFFFFF"/>
        </w:rPr>
        <w:t>an interpretivist research philosophy becomes more relevant.</w:t>
      </w:r>
    </w:p>
    <w:p w14:paraId="1FBC33B3" w14:textId="76D3FC8E" w:rsidR="00C25ACD" w:rsidRDefault="00C25ACD"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Regarding the </w:t>
      </w:r>
      <w:r w:rsidR="000F468A" w:rsidRPr="00070AB9">
        <w:rPr>
          <w:rFonts w:ascii="Times New Roman" w:eastAsia="Calibri" w:hAnsi="Times New Roman" w:cs="Times New Roman"/>
          <w:color w:val="000000" w:themeColor="text1"/>
          <w:kern w:val="2"/>
          <w:shd w:val="clear" w:color="auto" w:fill="FFFFFF"/>
        </w:rPr>
        <w:t xml:space="preserve">research approach, Saunders et al. (2018) discuss the options of </w:t>
      </w:r>
      <w:r w:rsidR="002C6788" w:rsidRPr="00070AB9">
        <w:rPr>
          <w:rFonts w:ascii="Times New Roman" w:eastAsia="Calibri" w:hAnsi="Times New Roman" w:cs="Times New Roman"/>
          <w:color w:val="000000" w:themeColor="text1"/>
          <w:kern w:val="2"/>
          <w:shd w:val="clear" w:color="auto" w:fill="FFFFFF"/>
        </w:rPr>
        <w:t xml:space="preserve">deductive inference and inductive inferences as the leading options. In the case of the deductive research approach, the researchers would try to test the validity of some hypotheses coming from the existing theories and evidence. </w:t>
      </w:r>
      <w:r w:rsidR="00213A10" w:rsidRPr="00070AB9">
        <w:rPr>
          <w:rFonts w:ascii="Times New Roman" w:eastAsia="Calibri" w:hAnsi="Times New Roman" w:cs="Times New Roman"/>
          <w:color w:val="000000" w:themeColor="text1"/>
          <w:kern w:val="2"/>
          <w:shd w:val="clear" w:color="auto" w:fill="FFFFFF"/>
        </w:rPr>
        <w:t xml:space="preserve">In the case of the inductive inference, there would be no hypotheses to test, but the </w:t>
      </w:r>
      <w:r w:rsidR="008846BB" w:rsidRPr="00070AB9">
        <w:rPr>
          <w:rFonts w:ascii="Times New Roman" w:eastAsia="Calibri" w:hAnsi="Times New Roman" w:cs="Times New Roman"/>
          <w:color w:val="000000" w:themeColor="text1"/>
          <w:kern w:val="2"/>
          <w:shd w:val="clear" w:color="auto" w:fill="FFFFFF"/>
        </w:rPr>
        <w:t xml:space="preserve">researcher would </w:t>
      </w:r>
      <w:r w:rsidR="00E07819" w:rsidRPr="00070AB9">
        <w:rPr>
          <w:rFonts w:ascii="Times New Roman" w:eastAsia="Calibri" w:hAnsi="Times New Roman" w:cs="Times New Roman"/>
          <w:color w:val="000000" w:themeColor="text1"/>
          <w:kern w:val="2"/>
          <w:shd w:val="clear" w:color="auto" w:fill="FFFFFF"/>
        </w:rPr>
        <w:t xml:space="preserve">examine the new data, information, and cases to arrive at some causal findings and hypotheses. So, </w:t>
      </w:r>
      <w:r w:rsidR="00E63AEA" w:rsidRPr="00070AB9">
        <w:rPr>
          <w:rFonts w:ascii="Times New Roman" w:eastAsia="Calibri" w:hAnsi="Times New Roman" w:cs="Times New Roman"/>
          <w:color w:val="000000" w:themeColor="text1"/>
          <w:kern w:val="2"/>
          <w:shd w:val="clear" w:color="auto" w:fill="FFFFFF"/>
        </w:rPr>
        <w:t xml:space="preserve">the </w:t>
      </w:r>
      <w:r w:rsidR="00E07819" w:rsidRPr="00070AB9">
        <w:rPr>
          <w:rFonts w:ascii="Times New Roman" w:eastAsia="Calibri" w:hAnsi="Times New Roman" w:cs="Times New Roman"/>
          <w:color w:val="000000" w:themeColor="text1"/>
          <w:kern w:val="2"/>
          <w:shd w:val="clear" w:color="auto" w:fill="FFFFFF"/>
        </w:rPr>
        <w:t xml:space="preserve">inductive inference would proceed from the specific to general and follow </w:t>
      </w:r>
      <w:r w:rsidR="00E63AEA" w:rsidRPr="00070AB9">
        <w:rPr>
          <w:rFonts w:ascii="Times New Roman" w:eastAsia="Calibri" w:hAnsi="Times New Roman" w:cs="Times New Roman"/>
          <w:color w:val="000000" w:themeColor="text1"/>
          <w:kern w:val="2"/>
          <w:shd w:val="clear" w:color="auto" w:fill="FFFFFF"/>
        </w:rPr>
        <w:t xml:space="preserve">a </w:t>
      </w:r>
      <w:r w:rsidR="00E07819" w:rsidRPr="00070AB9">
        <w:rPr>
          <w:rFonts w:ascii="Times New Roman" w:eastAsia="Calibri" w:hAnsi="Times New Roman" w:cs="Times New Roman"/>
          <w:color w:val="000000" w:themeColor="text1"/>
          <w:kern w:val="2"/>
          <w:shd w:val="clear" w:color="auto" w:fill="FFFFFF"/>
        </w:rPr>
        <w:t>botto</w:t>
      </w:r>
      <w:r w:rsidR="00E63AEA" w:rsidRPr="00070AB9">
        <w:rPr>
          <w:rFonts w:ascii="Times New Roman" w:eastAsia="Calibri" w:hAnsi="Times New Roman" w:cs="Times New Roman"/>
          <w:color w:val="000000" w:themeColor="text1"/>
          <w:kern w:val="2"/>
          <w:shd w:val="clear" w:color="auto" w:fill="FFFFFF"/>
        </w:rPr>
        <w:t>m</w:t>
      </w:r>
      <w:r w:rsidR="00E07819" w:rsidRPr="00070AB9">
        <w:rPr>
          <w:rFonts w:ascii="Times New Roman" w:eastAsia="Calibri" w:hAnsi="Times New Roman" w:cs="Times New Roman"/>
          <w:color w:val="000000" w:themeColor="text1"/>
          <w:kern w:val="2"/>
          <w:shd w:val="clear" w:color="auto" w:fill="FFFFFF"/>
        </w:rPr>
        <w:t xml:space="preserve">-up research approach. </w:t>
      </w:r>
      <w:r w:rsidR="00E63AEA" w:rsidRPr="00070AB9">
        <w:rPr>
          <w:rFonts w:ascii="Times New Roman" w:eastAsia="Calibri" w:hAnsi="Times New Roman" w:cs="Times New Roman"/>
          <w:color w:val="000000" w:themeColor="text1"/>
          <w:kern w:val="2"/>
          <w:shd w:val="clear" w:color="auto" w:fill="FFFFFF"/>
        </w:rPr>
        <w:t>The current research again utili</w:t>
      </w:r>
      <w:r w:rsidR="00EB2C20" w:rsidRPr="00070AB9">
        <w:rPr>
          <w:rFonts w:ascii="Times New Roman" w:eastAsia="Calibri" w:hAnsi="Times New Roman" w:cs="Times New Roman"/>
          <w:color w:val="000000" w:themeColor="text1"/>
          <w:kern w:val="2"/>
          <w:shd w:val="clear" w:color="auto" w:fill="FFFFFF"/>
        </w:rPr>
        <w:t>s</w:t>
      </w:r>
      <w:r w:rsidR="00E63AEA" w:rsidRPr="00070AB9">
        <w:rPr>
          <w:rFonts w:ascii="Times New Roman" w:eastAsia="Calibri" w:hAnsi="Times New Roman" w:cs="Times New Roman"/>
          <w:color w:val="000000" w:themeColor="text1"/>
          <w:kern w:val="2"/>
          <w:shd w:val="clear" w:color="auto" w:fill="FFFFFF"/>
        </w:rPr>
        <w:t>es both research approaches. The first part of the research assumes that the economic theory implies that the dynamics</w:t>
      </w:r>
      <w:r w:rsidR="004A4718" w:rsidRPr="00070AB9">
        <w:rPr>
          <w:rFonts w:ascii="Times New Roman" w:eastAsia="Calibri" w:hAnsi="Times New Roman" w:cs="Times New Roman"/>
          <w:color w:val="000000" w:themeColor="text1"/>
          <w:kern w:val="2"/>
          <w:shd w:val="clear" w:color="auto" w:fill="FFFFFF"/>
        </w:rPr>
        <w:t xml:space="preserve"> of co</w:t>
      </w:r>
      <w:r w:rsidR="00B70E74" w:rsidRPr="00070AB9">
        <w:rPr>
          <w:rFonts w:ascii="Times New Roman" w:eastAsia="Calibri" w:hAnsi="Times New Roman" w:cs="Times New Roman"/>
          <w:color w:val="000000" w:themeColor="text1"/>
          <w:kern w:val="2"/>
          <w:shd w:val="clear" w:color="auto" w:fill="FFFFFF"/>
        </w:rPr>
        <w:t>nsumer</w:t>
      </w:r>
      <w:r w:rsidR="004A4718" w:rsidRPr="00070AB9">
        <w:rPr>
          <w:rFonts w:ascii="Times New Roman" w:eastAsia="Calibri" w:hAnsi="Times New Roman" w:cs="Times New Roman"/>
          <w:color w:val="000000" w:themeColor="text1"/>
          <w:kern w:val="2"/>
          <w:shd w:val="clear" w:color="auto" w:fill="FFFFFF"/>
        </w:rPr>
        <w:t xml:space="preserve"> goods would be closely relate</w:t>
      </w:r>
      <w:r w:rsidR="00C0696B" w:rsidRPr="00070AB9">
        <w:rPr>
          <w:rFonts w:ascii="Times New Roman" w:eastAsia="Calibri" w:hAnsi="Times New Roman" w:cs="Times New Roman"/>
          <w:color w:val="000000" w:themeColor="text1"/>
          <w:kern w:val="2"/>
          <w:shd w:val="clear" w:color="auto" w:fill="FFFFFF"/>
        </w:rPr>
        <w:t xml:space="preserve">d to some macroeconomic variables like economic growth, </w:t>
      </w:r>
      <w:r w:rsidR="00990578" w:rsidRPr="00070AB9">
        <w:rPr>
          <w:rFonts w:ascii="Times New Roman" w:eastAsia="Calibri" w:hAnsi="Times New Roman" w:cs="Times New Roman"/>
          <w:color w:val="000000" w:themeColor="text1"/>
          <w:kern w:val="2"/>
          <w:shd w:val="clear" w:color="auto" w:fill="FFFFFF"/>
        </w:rPr>
        <w:t xml:space="preserve">unemployment rates, and consumer </w:t>
      </w:r>
      <w:r w:rsidR="00990578" w:rsidRPr="00070AB9">
        <w:rPr>
          <w:rFonts w:ascii="Times New Roman" w:eastAsia="Calibri" w:hAnsi="Times New Roman" w:cs="Times New Roman"/>
          <w:color w:val="000000" w:themeColor="text1"/>
          <w:kern w:val="2"/>
          <w:shd w:val="clear" w:color="auto" w:fill="FFFFFF"/>
        </w:rPr>
        <w:lastRenderedPageBreak/>
        <w:t xml:space="preserve">confidence. </w:t>
      </w:r>
      <w:r w:rsidR="005A1BA2" w:rsidRPr="00070AB9">
        <w:rPr>
          <w:rFonts w:ascii="Times New Roman" w:eastAsia="Calibri" w:hAnsi="Times New Roman" w:cs="Times New Roman"/>
          <w:color w:val="000000" w:themeColor="text1"/>
          <w:kern w:val="2"/>
          <w:shd w:val="clear" w:color="auto" w:fill="FFFFFF"/>
        </w:rPr>
        <w:t xml:space="preserve">Therefore, this part relies on deductive inference methods. In contrast, the second part does not assume any theory for the winning model of the data economy. </w:t>
      </w:r>
      <w:r w:rsidR="002775A9" w:rsidRPr="00070AB9">
        <w:rPr>
          <w:rFonts w:ascii="Times New Roman" w:eastAsia="Calibri" w:hAnsi="Times New Roman" w:cs="Times New Roman"/>
          <w:color w:val="000000" w:themeColor="text1"/>
          <w:kern w:val="2"/>
          <w:shd w:val="clear" w:color="auto" w:fill="FFFFFF"/>
        </w:rPr>
        <w:t xml:space="preserve">So, </w:t>
      </w:r>
      <w:r w:rsidR="00205F8B" w:rsidRPr="00070AB9">
        <w:rPr>
          <w:rFonts w:ascii="Times New Roman" w:eastAsia="Calibri" w:hAnsi="Times New Roman" w:cs="Times New Roman"/>
          <w:color w:val="000000" w:themeColor="text1"/>
          <w:kern w:val="2"/>
          <w:shd w:val="clear" w:color="auto" w:fill="FFFFFF"/>
        </w:rPr>
        <w:t xml:space="preserve">inductive inference methods are used in that part. Overall, this research follows mixed-methods in its research methodology. </w:t>
      </w:r>
    </w:p>
    <w:p w14:paraId="3D8CC361" w14:textId="77777777" w:rsidR="00070AB9" w:rsidRPr="00070AB9" w:rsidRDefault="00070AB9" w:rsidP="00310550">
      <w:pPr>
        <w:pStyle w:val="OBEBody"/>
        <w:rPr>
          <w:rFonts w:ascii="Times New Roman" w:eastAsia="Calibri" w:hAnsi="Times New Roman" w:cs="Times New Roman"/>
          <w:color w:val="000000" w:themeColor="text1"/>
          <w:kern w:val="2"/>
          <w:shd w:val="clear" w:color="auto" w:fill="FFFFFF"/>
        </w:rPr>
      </w:pPr>
    </w:p>
    <w:p w14:paraId="413C626C" w14:textId="58397D10" w:rsidR="00070AB9" w:rsidRDefault="00876C92" w:rsidP="00070AB9">
      <w:pPr>
        <w:pStyle w:val="OBESubtitle2ndtier"/>
        <w:numPr>
          <w:ilvl w:val="1"/>
          <w:numId w:val="16"/>
        </w:numPr>
        <w:rPr>
          <w:rFonts w:ascii="Times New Roman" w:eastAsia="Calibri" w:hAnsi="Times New Roman" w:cs="Times New Roman"/>
          <w:b/>
          <w:bCs/>
          <w:i w:val="0"/>
          <w:sz w:val="24"/>
          <w:szCs w:val="24"/>
          <w:shd w:val="clear" w:color="auto" w:fill="FFFFFF"/>
        </w:rPr>
      </w:pPr>
      <w:r w:rsidRPr="00070AB9">
        <w:rPr>
          <w:rFonts w:ascii="Times New Roman" w:eastAsia="Calibri" w:hAnsi="Times New Roman" w:cs="Times New Roman"/>
          <w:b/>
          <w:bCs/>
          <w:i w:val="0"/>
          <w:sz w:val="24"/>
          <w:szCs w:val="24"/>
          <w:shd w:val="clear" w:color="auto" w:fill="FFFFFF"/>
        </w:rPr>
        <w:t>Research Limitations and Ethical Concerns</w:t>
      </w:r>
    </w:p>
    <w:p w14:paraId="307FB983" w14:textId="77777777" w:rsidR="00070AB9" w:rsidRPr="00070AB9" w:rsidRDefault="00070AB9" w:rsidP="00070AB9">
      <w:pPr>
        <w:pStyle w:val="OBESubtitle2ndtier"/>
        <w:ind w:left="1080"/>
        <w:rPr>
          <w:rFonts w:ascii="Times New Roman" w:eastAsia="Calibri" w:hAnsi="Times New Roman" w:cs="Times New Roman"/>
          <w:b/>
          <w:bCs/>
          <w:i w:val="0"/>
          <w:sz w:val="24"/>
          <w:szCs w:val="24"/>
          <w:shd w:val="clear" w:color="auto" w:fill="FFFFFF"/>
        </w:rPr>
      </w:pPr>
    </w:p>
    <w:p w14:paraId="26C0B91E" w14:textId="66152B5E" w:rsidR="000E68AE" w:rsidRPr="00070AB9" w:rsidRDefault="00A43D97"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There are some research limitations in the current study. Due to data availability concerns, only publicly available secondary data</w:t>
      </w:r>
      <w:r w:rsidR="00A010DF" w:rsidRPr="00070AB9">
        <w:rPr>
          <w:rFonts w:ascii="Times New Roman" w:eastAsia="Calibri" w:hAnsi="Times New Roman" w:cs="Times New Roman"/>
          <w:color w:val="000000" w:themeColor="text1"/>
          <w:kern w:val="2"/>
          <w:shd w:val="clear" w:color="auto" w:fill="FFFFFF"/>
        </w:rPr>
        <w:t xml:space="preserve"> (like the UK GDP growth, unemployment rate, consumer confidence)</w:t>
      </w:r>
      <w:r w:rsidRPr="00070AB9">
        <w:rPr>
          <w:rFonts w:ascii="Times New Roman" w:eastAsia="Calibri" w:hAnsi="Times New Roman" w:cs="Times New Roman"/>
          <w:color w:val="000000" w:themeColor="text1"/>
          <w:kern w:val="2"/>
          <w:shd w:val="clear" w:color="auto" w:fill="FFFFFF"/>
        </w:rPr>
        <w:t xml:space="preserve"> is used in the quantitative analys</w:t>
      </w:r>
      <w:r w:rsidR="00A010DF" w:rsidRPr="00070AB9">
        <w:rPr>
          <w:rFonts w:ascii="Times New Roman" w:eastAsia="Calibri" w:hAnsi="Times New Roman" w:cs="Times New Roman"/>
          <w:color w:val="000000" w:themeColor="text1"/>
          <w:kern w:val="2"/>
          <w:shd w:val="clear" w:color="auto" w:fill="FFFFFF"/>
        </w:rPr>
        <w:t xml:space="preserve">is. While this quantitative analysis provides some valuable information on the dynamics and properties of the consumer goods sector in the UK, the lack of more detailed data can be considered as a limitation. Instead of focusing on such broad categories, </w:t>
      </w:r>
      <w:r w:rsidR="002177B7" w:rsidRPr="00070AB9">
        <w:rPr>
          <w:rFonts w:ascii="Times New Roman" w:eastAsia="Calibri" w:hAnsi="Times New Roman" w:cs="Times New Roman"/>
          <w:color w:val="000000" w:themeColor="text1"/>
          <w:kern w:val="2"/>
          <w:shd w:val="clear" w:color="auto" w:fill="FFFFFF"/>
        </w:rPr>
        <w:t>conducting more detailed quantitative analysis o</w:t>
      </w:r>
      <w:r w:rsidR="00444CF2" w:rsidRPr="00070AB9">
        <w:rPr>
          <w:rFonts w:ascii="Times New Roman" w:eastAsia="Calibri" w:hAnsi="Times New Roman" w:cs="Times New Roman"/>
          <w:color w:val="000000" w:themeColor="text1"/>
          <w:kern w:val="2"/>
          <w:shd w:val="clear" w:color="auto" w:fill="FFFFFF"/>
        </w:rPr>
        <w:t>f</w:t>
      </w:r>
      <w:r w:rsidR="002177B7" w:rsidRPr="00070AB9">
        <w:rPr>
          <w:rFonts w:ascii="Times New Roman" w:eastAsia="Calibri" w:hAnsi="Times New Roman" w:cs="Times New Roman"/>
          <w:color w:val="000000" w:themeColor="text1"/>
          <w:kern w:val="2"/>
          <w:shd w:val="clear" w:color="auto" w:fill="FFFFFF"/>
        </w:rPr>
        <w:t xml:space="preserve"> the specific consumer goods would also provide additional insights into the research question. </w:t>
      </w:r>
      <w:r w:rsidR="00D50945" w:rsidRPr="00070AB9">
        <w:rPr>
          <w:rFonts w:ascii="Times New Roman" w:eastAsia="Calibri" w:hAnsi="Times New Roman" w:cs="Times New Roman"/>
          <w:color w:val="000000" w:themeColor="text1"/>
          <w:kern w:val="2"/>
          <w:shd w:val="clear" w:color="auto" w:fill="FFFFFF"/>
        </w:rPr>
        <w:t xml:space="preserve">Similarly, specific data on the consumer purchasing behaviour of consumer goods and the firm strategies of </w:t>
      </w:r>
      <w:r w:rsidR="00E5658B" w:rsidRPr="00070AB9">
        <w:rPr>
          <w:rFonts w:ascii="Times New Roman" w:eastAsia="Calibri" w:hAnsi="Times New Roman" w:cs="Times New Roman"/>
          <w:color w:val="000000" w:themeColor="text1"/>
          <w:kern w:val="2"/>
          <w:shd w:val="clear" w:color="auto" w:fill="FFFFFF"/>
        </w:rPr>
        <w:t xml:space="preserve">data economy can be examined by collecting primary data from consumers and firms. Therefore, the lack of primary data emerges as another research limitation. </w:t>
      </w:r>
      <w:r w:rsidR="000E68AE" w:rsidRPr="00070AB9">
        <w:rPr>
          <w:rFonts w:ascii="Times New Roman" w:eastAsia="Calibri" w:hAnsi="Times New Roman" w:cs="Times New Roman"/>
          <w:color w:val="000000" w:themeColor="text1"/>
          <w:kern w:val="2"/>
          <w:shd w:val="clear" w:color="auto" w:fill="FFFFFF"/>
        </w:rPr>
        <w:t>These research limitations can be addressed in future research. Regarding any ethical concerns in the research process, as the study is conducted on publicly available secondary data, there are no issues of privacy or security. In ad</w:t>
      </w:r>
      <w:r w:rsidR="00C01506" w:rsidRPr="00070AB9">
        <w:rPr>
          <w:rFonts w:ascii="Times New Roman" w:eastAsia="Calibri" w:hAnsi="Times New Roman" w:cs="Times New Roman"/>
          <w:color w:val="000000" w:themeColor="text1"/>
          <w:kern w:val="2"/>
          <w:shd w:val="clear" w:color="auto" w:fill="FFFFFF"/>
        </w:rPr>
        <w:t xml:space="preserve">dition, the researcher does not have any conflicts of interest in conducting this research. Hence, there are no ethical concerns left in the current research. </w:t>
      </w:r>
    </w:p>
    <w:p w14:paraId="552D9701" w14:textId="155FD3DB" w:rsidR="00074008" w:rsidRPr="00070AB9" w:rsidRDefault="00074008" w:rsidP="00310550">
      <w:pPr>
        <w:pStyle w:val="OBEBody"/>
        <w:rPr>
          <w:rFonts w:ascii="Times New Roman" w:eastAsia="Calibri" w:hAnsi="Times New Roman" w:cs="Times New Roman"/>
          <w:b/>
          <w:bCs/>
          <w:color w:val="000000" w:themeColor="text1"/>
          <w:kern w:val="2"/>
          <w:shd w:val="clear" w:color="auto" w:fill="FFFFFF"/>
        </w:rPr>
      </w:pPr>
    </w:p>
    <w:p w14:paraId="184F3780" w14:textId="3A079ECA" w:rsidR="0044680C" w:rsidRPr="00070AB9" w:rsidRDefault="0044680C" w:rsidP="00310550">
      <w:pPr>
        <w:pStyle w:val="OBEBody"/>
        <w:rPr>
          <w:rFonts w:ascii="Times New Roman" w:eastAsia="Calibri" w:hAnsi="Times New Roman" w:cs="Times New Roman"/>
          <w:b/>
          <w:bCs/>
          <w:color w:val="000000" w:themeColor="text1"/>
          <w:kern w:val="2"/>
          <w:shd w:val="clear" w:color="auto" w:fill="FFFFFF"/>
        </w:rPr>
      </w:pPr>
    </w:p>
    <w:p w14:paraId="516383DF" w14:textId="3AB983E9" w:rsidR="0044680C" w:rsidRPr="00070AB9" w:rsidRDefault="0044680C" w:rsidP="00310550">
      <w:pPr>
        <w:pStyle w:val="OBEBody"/>
        <w:rPr>
          <w:rFonts w:ascii="Times New Roman" w:eastAsia="Calibri" w:hAnsi="Times New Roman" w:cs="Times New Roman"/>
          <w:b/>
          <w:bCs/>
          <w:color w:val="000000" w:themeColor="text1"/>
          <w:kern w:val="2"/>
          <w:shd w:val="clear" w:color="auto" w:fill="FFFFFF"/>
        </w:rPr>
      </w:pPr>
    </w:p>
    <w:p w14:paraId="7A064706" w14:textId="58F8AAFC" w:rsidR="0044680C" w:rsidRPr="00070AB9" w:rsidRDefault="0044680C" w:rsidP="00310550">
      <w:pPr>
        <w:pStyle w:val="OBEBody"/>
        <w:rPr>
          <w:rFonts w:ascii="Times New Roman" w:eastAsia="Calibri" w:hAnsi="Times New Roman" w:cs="Times New Roman"/>
          <w:b/>
          <w:bCs/>
          <w:color w:val="000000" w:themeColor="text1"/>
          <w:kern w:val="2"/>
          <w:shd w:val="clear" w:color="auto" w:fill="FFFFFF"/>
        </w:rPr>
      </w:pPr>
    </w:p>
    <w:p w14:paraId="56C47A6F" w14:textId="4221E82B" w:rsidR="0044680C" w:rsidRPr="00070AB9" w:rsidRDefault="0044680C" w:rsidP="00310550">
      <w:pPr>
        <w:pStyle w:val="OBEBody"/>
        <w:rPr>
          <w:rFonts w:ascii="Times New Roman" w:eastAsia="Calibri" w:hAnsi="Times New Roman" w:cs="Times New Roman"/>
          <w:b/>
          <w:bCs/>
          <w:color w:val="000000" w:themeColor="text1"/>
          <w:kern w:val="2"/>
          <w:shd w:val="clear" w:color="auto" w:fill="FFFFFF"/>
        </w:rPr>
      </w:pPr>
    </w:p>
    <w:p w14:paraId="29D4914A" w14:textId="2EFCA33E" w:rsidR="0044680C" w:rsidRDefault="0044680C" w:rsidP="00310550">
      <w:pPr>
        <w:pStyle w:val="OBEBody"/>
        <w:rPr>
          <w:rFonts w:ascii="Times New Roman" w:eastAsia="Calibri" w:hAnsi="Times New Roman" w:cs="Times New Roman"/>
          <w:b/>
          <w:bCs/>
          <w:color w:val="000000" w:themeColor="text1"/>
          <w:kern w:val="2"/>
          <w:shd w:val="clear" w:color="auto" w:fill="FFFFFF"/>
        </w:rPr>
      </w:pPr>
    </w:p>
    <w:p w14:paraId="2D0F5465" w14:textId="77777777" w:rsidR="00070AB9" w:rsidRPr="00070AB9" w:rsidRDefault="00070AB9" w:rsidP="00310550">
      <w:pPr>
        <w:pStyle w:val="OBEBody"/>
        <w:rPr>
          <w:rFonts w:ascii="Times New Roman" w:eastAsia="Calibri" w:hAnsi="Times New Roman" w:cs="Times New Roman"/>
          <w:b/>
          <w:bCs/>
          <w:color w:val="000000" w:themeColor="text1"/>
          <w:kern w:val="2"/>
          <w:shd w:val="clear" w:color="auto" w:fill="FFFFFF"/>
        </w:rPr>
      </w:pPr>
    </w:p>
    <w:p w14:paraId="076DCAAC" w14:textId="67923A70" w:rsidR="0044680C" w:rsidRPr="00070AB9" w:rsidRDefault="00673FC8" w:rsidP="003107AD">
      <w:pPr>
        <w:pStyle w:val="OBESubtitle1sttier"/>
        <w:numPr>
          <w:ilvl w:val="0"/>
          <w:numId w:val="16"/>
        </w:numPr>
        <w:rPr>
          <w:rFonts w:ascii="Times New Roman" w:eastAsia="Calibri" w:hAnsi="Times New Roman" w:cs="Times New Roman"/>
          <w:b/>
          <w:bCs/>
          <w:color w:val="000000" w:themeColor="text1"/>
          <w:sz w:val="28"/>
          <w:szCs w:val="28"/>
          <w:shd w:val="clear" w:color="auto" w:fill="FFFFFF"/>
        </w:rPr>
      </w:pPr>
      <w:r w:rsidRPr="00070AB9">
        <w:rPr>
          <w:rFonts w:ascii="Times New Roman" w:eastAsia="Calibri" w:hAnsi="Times New Roman" w:cs="Times New Roman"/>
          <w:b/>
          <w:bCs/>
          <w:color w:val="000000" w:themeColor="text1"/>
          <w:sz w:val="28"/>
          <w:szCs w:val="28"/>
          <w:shd w:val="clear" w:color="auto" w:fill="FFFFFF"/>
        </w:rPr>
        <w:lastRenderedPageBreak/>
        <w:t>Results</w:t>
      </w:r>
    </w:p>
    <w:p w14:paraId="2F6F65B6" w14:textId="43221420" w:rsidR="00673FC8" w:rsidRPr="00070AB9" w:rsidRDefault="00673FC8" w:rsidP="003107AD">
      <w:pPr>
        <w:pStyle w:val="OBESubtitle2ndtier"/>
        <w:numPr>
          <w:ilvl w:val="1"/>
          <w:numId w:val="16"/>
        </w:numPr>
        <w:rPr>
          <w:rFonts w:ascii="Times New Roman" w:eastAsia="Calibri" w:hAnsi="Times New Roman" w:cs="Times New Roman"/>
          <w:b/>
          <w:bCs/>
          <w:i w:val="0"/>
          <w:szCs w:val="28"/>
          <w:shd w:val="clear" w:color="auto" w:fill="FFFFFF"/>
        </w:rPr>
      </w:pPr>
      <w:r w:rsidRPr="00070AB9">
        <w:rPr>
          <w:rFonts w:ascii="Times New Roman" w:eastAsia="Calibri" w:hAnsi="Times New Roman" w:cs="Times New Roman"/>
          <w:b/>
          <w:bCs/>
          <w:i w:val="0"/>
          <w:szCs w:val="28"/>
          <w:shd w:val="clear" w:color="auto" w:fill="FFFFFF"/>
        </w:rPr>
        <w:t>Quanti</w:t>
      </w:r>
      <w:r w:rsidR="003107AD" w:rsidRPr="00070AB9">
        <w:rPr>
          <w:rFonts w:ascii="Times New Roman" w:eastAsia="Calibri" w:hAnsi="Times New Roman" w:cs="Times New Roman"/>
          <w:b/>
          <w:bCs/>
          <w:i w:val="0"/>
          <w:szCs w:val="28"/>
          <w:shd w:val="clear" w:color="auto" w:fill="FFFFFF"/>
        </w:rPr>
        <w:t>t</w:t>
      </w:r>
      <w:r w:rsidRPr="00070AB9">
        <w:rPr>
          <w:rFonts w:ascii="Times New Roman" w:eastAsia="Calibri" w:hAnsi="Times New Roman" w:cs="Times New Roman"/>
          <w:b/>
          <w:bCs/>
          <w:i w:val="0"/>
          <w:szCs w:val="28"/>
          <w:shd w:val="clear" w:color="auto" w:fill="FFFFFF"/>
        </w:rPr>
        <w:t>ative Analysis</w:t>
      </w:r>
    </w:p>
    <w:p w14:paraId="0D6AE641" w14:textId="500DCC13" w:rsidR="00673FC8" w:rsidRPr="00070AB9" w:rsidRDefault="0056380F"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The quantitative analysis in this research is based on the macroeconomic data for the UK. The publicly available data from ONS (2020a, 2020b) are searched extensively to get the relevant data on the consumer goods sector. </w:t>
      </w:r>
      <w:r w:rsidR="00B32862" w:rsidRPr="00070AB9">
        <w:rPr>
          <w:rFonts w:ascii="Times New Roman" w:eastAsia="Calibri" w:hAnsi="Times New Roman" w:cs="Times New Roman"/>
          <w:color w:val="000000" w:themeColor="text1"/>
          <w:kern w:val="2"/>
          <w:shd w:val="clear" w:color="auto" w:fill="FFFFFF"/>
        </w:rPr>
        <w:t xml:space="preserve">There is no defined “consumer goods sector” that the relevant data is readily available. </w:t>
      </w:r>
      <w:r w:rsidR="006B4360" w:rsidRPr="00070AB9">
        <w:rPr>
          <w:rFonts w:ascii="Times New Roman" w:eastAsia="Calibri" w:hAnsi="Times New Roman" w:cs="Times New Roman"/>
          <w:color w:val="000000" w:themeColor="text1"/>
          <w:kern w:val="2"/>
          <w:shd w:val="clear" w:color="auto" w:fill="FFFFFF"/>
        </w:rPr>
        <w:t xml:space="preserve">So, different variables from the final consumption expenditures of households should be collected together to arrive at this classification. Table 1 shows the size of the consumer goods sector and its components in the UK covering the period of 1997-2019. </w:t>
      </w:r>
    </w:p>
    <w:tbl>
      <w:tblPr>
        <w:tblStyle w:val="TableGrid"/>
        <w:tblW w:w="0" w:type="auto"/>
        <w:tblLook w:val="04A0" w:firstRow="1" w:lastRow="0" w:firstColumn="1" w:lastColumn="0" w:noHBand="0" w:noVBand="1"/>
      </w:tblPr>
      <w:tblGrid>
        <w:gridCol w:w="9016"/>
      </w:tblGrid>
      <w:tr w:rsidR="00070AB9" w:rsidRPr="00070AB9" w14:paraId="657AE6B8" w14:textId="77777777" w:rsidTr="00125713">
        <w:tc>
          <w:tcPr>
            <w:tcW w:w="9016" w:type="dxa"/>
          </w:tcPr>
          <w:p w14:paraId="2A17934E" w14:textId="4902C7D2" w:rsidR="00125713" w:rsidRPr="00070AB9" w:rsidRDefault="00125713"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Table 1: The Consumer Goods Sector in the UK (1997-2019</w:t>
            </w:r>
            <w:r w:rsidR="008A223A" w:rsidRPr="00070AB9">
              <w:rPr>
                <w:rFonts w:ascii="Times New Roman" w:eastAsia="Calibri" w:hAnsi="Times New Roman" w:cs="Times New Roman"/>
                <w:b/>
                <w:bCs/>
                <w:color w:val="000000" w:themeColor="text1"/>
                <w:kern w:val="2"/>
                <w:shd w:val="clear" w:color="auto" w:fill="FFFFFF"/>
              </w:rPr>
              <w:t>, chained volume, million £</w:t>
            </w:r>
            <w:r w:rsidRPr="00070AB9">
              <w:rPr>
                <w:rFonts w:ascii="Times New Roman" w:eastAsia="Calibri" w:hAnsi="Times New Roman" w:cs="Times New Roman"/>
                <w:b/>
                <w:bCs/>
                <w:color w:val="000000" w:themeColor="text1"/>
                <w:kern w:val="2"/>
                <w:shd w:val="clear" w:color="auto" w:fill="FFFFFF"/>
              </w:rPr>
              <w:t>)</w:t>
            </w:r>
          </w:p>
        </w:tc>
      </w:tr>
      <w:tr w:rsidR="00070AB9" w:rsidRPr="00070AB9" w14:paraId="406B4A77" w14:textId="77777777" w:rsidTr="00125713">
        <w:tc>
          <w:tcPr>
            <w:tcW w:w="9016" w:type="dxa"/>
          </w:tcPr>
          <w:tbl>
            <w:tblPr>
              <w:tblW w:w="8141" w:type="dxa"/>
              <w:tblLook w:val="04A0" w:firstRow="1" w:lastRow="0" w:firstColumn="1" w:lastColumn="0" w:noHBand="0" w:noVBand="1"/>
            </w:tblPr>
            <w:tblGrid>
              <w:gridCol w:w="1137"/>
              <w:gridCol w:w="1160"/>
              <w:gridCol w:w="1160"/>
              <w:gridCol w:w="1160"/>
              <w:gridCol w:w="1137"/>
              <w:gridCol w:w="947"/>
              <w:gridCol w:w="1445"/>
            </w:tblGrid>
            <w:tr w:rsidR="00070AB9" w:rsidRPr="00070AB9" w14:paraId="7D5900F5" w14:textId="77777777" w:rsidTr="00671B02">
              <w:trPr>
                <w:trHeight w:val="395"/>
              </w:trPr>
              <w:tc>
                <w:tcPr>
                  <w:tcW w:w="1137" w:type="dxa"/>
                  <w:tcBorders>
                    <w:top w:val="single" w:sz="4" w:space="0" w:color="auto"/>
                    <w:left w:val="nil"/>
                    <w:bottom w:val="single" w:sz="8" w:space="0" w:color="auto"/>
                    <w:right w:val="nil"/>
                  </w:tcBorders>
                  <w:shd w:val="clear" w:color="auto" w:fill="auto"/>
                  <w:noWrap/>
                  <w:vAlign w:val="bottom"/>
                  <w:hideMark/>
                </w:tcPr>
                <w:p w14:paraId="55E08CF7"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lang w:eastAsia="en-GB"/>
                    </w:rPr>
                  </w:pPr>
                  <w:r w:rsidRPr="00070AB9">
                    <w:rPr>
                      <w:rFonts w:ascii="Times New Roman" w:eastAsia="Times New Roman" w:hAnsi="Times New Roman" w:cs="Times New Roman"/>
                      <w:b/>
                      <w:bCs/>
                      <w:color w:val="000000" w:themeColor="text1"/>
                      <w:sz w:val="18"/>
                      <w:lang w:eastAsia="en-GB"/>
                    </w:rPr>
                    <w:t> </w:t>
                  </w:r>
                </w:p>
              </w:tc>
              <w:tc>
                <w:tcPr>
                  <w:tcW w:w="1160" w:type="dxa"/>
                  <w:tcBorders>
                    <w:top w:val="single" w:sz="4" w:space="0" w:color="auto"/>
                    <w:left w:val="nil"/>
                    <w:bottom w:val="single" w:sz="8" w:space="0" w:color="auto"/>
                    <w:right w:val="nil"/>
                  </w:tcBorders>
                  <w:shd w:val="clear" w:color="000000" w:fill="FFFFFF"/>
                  <w:vAlign w:val="center"/>
                  <w:hideMark/>
                </w:tcPr>
                <w:p w14:paraId="228CD572"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Food and drink</w:t>
                  </w:r>
                </w:p>
              </w:tc>
              <w:tc>
                <w:tcPr>
                  <w:tcW w:w="1160" w:type="dxa"/>
                  <w:tcBorders>
                    <w:top w:val="single" w:sz="4" w:space="0" w:color="auto"/>
                    <w:left w:val="nil"/>
                    <w:bottom w:val="single" w:sz="8" w:space="0" w:color="auto"/>
                    <w:right w:val="nil"/>
                  </w:tcBorders>
                  <w:shd w:val="clear" w:color="000000" w:fill="FFFFFF"/>
                  <w:vAlign w:val="center"/>
                  <w:hideMark/>
                </w:tcPr>
                <w:p w14:paraId="0FE5379B"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Alcohol and tobacco</w:t>
                  </w:r>
                </w:p>
              </w:tc>
              <w:tc>
                <w:tcPr>
                  <w:tcW w:w="1160" w:type="dxa"/>
                  <w:tcBorders>
                    <w:top w:val="single" w:sz="4" w:space="0" w:color="auto"/>
                    <w:left w:val="nil"/>
                    <w:bottom w:val="single" w:sz="8" w:space="0" w:color="auto"/>
                    <w:right w:val="nil"/>
                  </w:tcBorders>
                  <w:shd w:val="clear" w:color="000000" w:fill="FFFFFF"/>
                  <w:vAlign w:val="center"/>
                  <w:hideMark/>
                </w:tcPr>
                <w:p w14:paraId="6792E9D5"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Clothing and footwear</w:t>
                  </w:r>
                </w:p>
              </w:tc>
              <w:tc>
                <w:tcPr>
                  <w:tcW w:w="1132" w:type="dxa"/>
                  <w:tcBorders>
                    <w:top w:val="single" w:sz="4" w:space="0" w:color="auto"/>
                    <w:left w:val="nil"/>
                    <w:bottom w:val="single" w:sz="8" w:space="0" w:color="auto"/>
                    <w:right w:val="nil"/>
                  </w:tcBorders>
                  <w:shd w:val="clear" w:color="000000" w:fill="FFFFFF"/>
                  <w:vAlign w:val="center"/>
                  <w:hideMark/>
                </w:tcPr>
                <w:p w14:paraId="0A2176E2"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Furnishings</w:t>
                  </w:r>
                </w:p>
              </w:tc>
              <w:tc>
                <w:tcPr>
                  <w:tcW w:w="947" w:type="dxa"/>
                  <w:tcBorders>
                    <w:top w:val="single" w:sz="4" w:space="0" w:color="auto"/>
                    <w:left w:val="nil"/>
                    <w:bottom w:val="single" w:sz="8" w:space="0" w:color="auto"/>
                    <w:right w:val="nil"/>
                  </w:tcBorders>
                  <w:shd w:val="clear" w:color="000000" w:fill="FFFFFF"/>
                  <w:vAlign w:val="center"/>
                  <w:hideMark/>
                </w:tcPr>
                <w:p w14:paraId="40DA8229"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Misc.</w:t>
                  </w:r>
                </w:p>
              </w:tc>
              <w:tc>
                <w:tcPr>
                  <w:tcW w:w="1445" w:type="dxa"/>
                  <w:tcBorders>
                    <w:top w:val="single" w:sz="4" w:space="0" w:color="auto"/>
                    <w:left w:val="nil"/>
                    <w:bottom w:val="single" w:sz="8" w:space="0" w:color="auto"/>
                    <w:right w:val="nil"/>
                  </w:tcBorders>
                  <w:shd w:val="clear" w:color="000000" w:fill="FFFFFF"/>
                  <w:vAlign w:val="center"/>
                  <w:hideMark/>
                </w:tcPr>
                <w:p w14:paraId="19C0325E" w14:textId="77777777" w:rsidR="000D08DA" w:rsidRPr="00070AB9" w:rsidRDefault="000D08DA" w:rsidP="000D08DA">
                  <w:pPr>
                    <w:spacing w:after="0" w:line="240" w:lineRule="auto"/>
                    <w:jc w:val="center"/>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Total Consumer Goods</w:t>
                  </w:r>
                </w:p>
              </w:tc>
            </w:tr>
            <w:tr w:rsidR="00070AB9" w:rsidRPr="00070AB9" w14:paraId="610472CD" w14:textId="77777777" w:rsidTr="00671B02">
              <w:trPr>
                <w:trHeight w:val="271"/>
              </w:trPr>
              <w:tc>
                <w:tcPr>
                  <w:tcW w:w="1137" w:type="dxa"/>
                  <w:tcBorders>
                    <w:top w:val="nil"/>
                    <w:left w:val="nil"/>
                    <w:bottom w:val="nil"/>
                    <w:right w:val="nil"/>
                  </w:tcBorders>
                  <w:shd w:val="clear" w:color="000000" w:fill="FFFFFF"/>
                  <w:noWrap/>
                  <w:vAlign w:val="bottom"/>
                  <w:hideMark/>
                </w:tcPr>
                <w:p w14:paraId="5A86BBC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1997</w:t>
                  </w:r>
                </w:p>
              </w:tc>
              <w:tc>
                <w:tcPr>
                  <w:tcW w:w="1160" w:type="dxa"/>
                  <w:tcBorders>
                    <w:top w:val="nil"/>
                    <w:left w:val="nil"/>
                    <w:bottom w:val="nil"/>
                    <w:right w:val="nil"/>
                  </w:tcBorders>
                  <w:shd w:val="clear" w:color="000000" w:fill="FFFFFF"/>
                  <w:noWrap/>
                  <w:vAlign w:val="bottom"/>
                  <w:hideMark/>
                </w:tcPr>
                <w:p w14:paraId="7DDE960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81,657 </w:t>
                  </w:r>
                </w:p>
              </w:tc>
              <w:tc>
                <w:tcPr>
                  <w:tcW w:w="1160" w:type="dxa"/>
                  <w:tcBorders>
                    <w:top w:val="nil"/>
                    <w:left w:val="nil"/>
                    <w:bottom w:val="nil"/>
                    <w:right w:val="nil"/>
                  </w:tcBorders>
                  <w:shd w:val="clear" w:color="000000" w:fill="FFFFFF"/>
                  <w:noWrap/>
                  <w:vAlign w:val="bottom"/>
                  <w:hideMark/>
                </w:tcPr>
                <w:p w14:paraId="5F2EC1D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54,712 </w:t>
                  </w:r>
                </w:p>
              </w:tc>
              <w:tc>
                <w:tcPr>
                  <w:tcW w:w="1160" w:type="dxa"/>
                  <w:tcBorders>
                    <w:top w:val="nil"/>
                    <w:left w:val="nil"/>
                    <w:bottom w:val="nil"/>
                    <w:right w:val="nil"/>
                  </w:tcBorders>
                  <w:shd w:val="clear" w:color="000000" w:fill="FFFFFF"/>
                  <w:noWrap/>
                  <w:vAlign w:val="bottom"/>
                  <w:hideMark/>
                </w:tcPr>
                <w:p w14:paraId="1FCE542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14,935 </w:t>
                  </w:r>
                </w:p>
              </w:tc>
              <w:tc>
                <w:tcPr>
                  <w:tcW w:w="1132" w:type="dxa"/>
                  <w:tcBorders>
                    <w:top w:val="nil"/>
                    <w:left w:val="nil"/>
                    <w:bottom w:val="nil"/>
                    <w:right w:val="nil"/>
                  </w:tcBorders>
                  <w:shd w:val="clear" w:color="000000" w:fill="FFFFFF"/>
                  <w:noWrap/>
                  <w:vAlign w:val="bottom"/>
                  <w:hideMark/>
                </w:tcPr>
                <w:p w14:paraId="497F453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37,199 </w:t>
                  </w:r>
                </w:p>
              </w:tc>
              <w:tc>
                <w:tcPr>
                  <w:tcW w:w="947" w:type="dxa"/>
                  <w:tcBorders>
                    <w:top w:val="nil"/>
                    <w:left w:val="nil"/>
                    <w:bottom w:val="nil"/>
                    <w:right w:val="nil"/>
                  </w:tcBorders>
                  <w:shd w:val="clear" w:color="000000" w:fill="FFFFFF"/>
                  <w:noWrap/>
                  <w:vAlign w:val="bottom"/>
                  <w:hideMark/>
                </w:tcPr>
                <w:p w14:paraId="328F422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13,281 </w:t>
                  </w:r>
                </w:p>
              </w:tc>
              <w:tc>
                <w:tcPr>
                  <w:tcW w:w="1445" w:type="dxa"/>
                  <w:tcBorders>
                    <w:top w:val="nil"/>
                    <w:left w:val="nil"/>
                    <w:bottom w:val="nil"/>
                    <w:right w:val="nil"/>
                  </w:tcBorders>
                  <w:shd w:val="clear" w:color="auto" w:fill="auto"/>
                  <w:noWrap/>
                  <w:vAlign w:val="bottom"/>
                  <w:hideMark/>
                </w:tcPr>
                <w:p w14:paraId="3CE96640"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201,784 </w:t>
                  </w:r>
                </w:p>
              </w:tc>
            </w:tr>
            <w:tr w:rsidR="00070AB9" w:rsidRPr="00070AB9" w14:paraId="04ABBAF1" w14:textId="77777777" w:rsidTr="00671B02">
              <w:trPr>
                <w:trHeight w:val="271"/>
              </w:trPr>
              <w:tc>
                <w:tcPr>
                  <w:tcW w:w="1137" w:type="dxa"/>
                  <w:tcBorders>
                    <w:top w:val="nil"/>
                    <w:left w:val="nil"/>
                    <w:bottom w:val="nil"/>
                    <w:right w:val="nil"/>
                  </w:tcBorders>
                  <w:shd w:val="clear" w:color="000000" w:fill="FFFFFF"/>
                  <w:noWrap/>
                  <w:vAlign w:val="bottom"/>
                  <w:hideMark/>
                </w:tcPr>
                <w:p w14:paraId="02B4FC3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1998</w:t>
                  </w:r>
                </w:p>
              </w:tc>
              <w:tc>
                <w:tcPr>
                  <w:tcW w:w="1160" w:type="dxa"/>
                  <w:tcBorders>
                    <w:top w:val="nil"/>
                    <w:left w:val="nil"/>
                    <w:bottom w:val="nil"/>
                    <w:right w:val="nil"/>
                  </w:tcBorders>
                  <w:shd w:val="clear" w:color="000000" w:fill="FFFFFF"/>
                  <w:noWrap/>
                  <w:vAlign w:val="bottom"/>
                  <w:hideMark/>
                </w:tcPr>
                <w:p w14:paraId="743D7AD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84,134 </w:t>
                  </w:r>
                </w:p>
              </w:tc>
              <w:tc>
                <w:tcPr>
                  <w:tcW w:w="1160" w:type="dxa"/>
                  <w:tcBorders>
                    <w:top w:val="nil"/>
                    <w:left w:val="nil"/>
                    <w:bottom w:val="nil"/>
                    <w:right w:val="nil"/>
                  </w:tcBorders>
                  <w:shd w:val="clear" w:color="000000" w:fill="FFFFFF"/>
                  <w:noWrap/>
                  <w:vAlign w:val="bottom"/>
                  <w:hideMark/>
                </w:tcPr>
                <w:p w14:paraId="759F4DC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54,427 </w:t>
                  </w:r>
                </w:p>
              </w:tc>
              <w:tc>
                <w:tcPr>
                  <w:tcW w:w="1160" w:type="dxa"/>
                  <w:tcBorders>
                    <w:top w:val="nil"/>
                    <w:left w:val="nil"/>
                    <w:bottom w:val="nil"/>
                    <w:right w:val="nil"/>
                  </w:tcBorders>
                  <w:shd w:val="clear" w:color="000000" w:fill="FFFFFF"/>
                  <w:noWrap/>
                  <w:vAlign w:val="bottom"/>
                  <w:hideMark/>
                </w:tcPr>
                <w:p w14:paraId="7B78700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16,436 </w:t>
                  </w:r>
                </w:p>
              </w:tc>
              <w:tc>
                <w:tcPr>
                  <w:tcW w:w="1132" w:type="dxa"/>
                  <w:tcBorders>
                    <w:top w:val="nil"/>
                    <w:left w:val="nil"/>
                    <w:bottom w:val="nil"/>
                    <w:right w:val="nil"/>
                  </w:tcBorders>
                  <w:shd w:val="clear" w:color="000000" w:fill="FFFFFF"/>
                  <w:noWrap/>
                  <w:vAlign w:val="bottom"/>
                  <w:hideMark/>
                </w:tcPr>
                <w:p w14:paraId="566EFCE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39,452 </w:t>
                  </w:r>
                </w:p>
              </w:tc>
              <w:tc>
                <w:tcPr>
                  <w:tcW w:w="947" w:type="dxa"/>
                  <w:tcBorders>
                    <w:top w:val="nil"/>
                    <w:left w:val="nil"/>
                    <w:bottom w:val="nil"/>
                    <w:right w:val="nil"/>
                  </w:tcBorders>
                  <w:shd w:val="clear" w:color="000000" w:fill="FFFFFF"/>
                  <w:noWrap/>
                  <w:vAlign w:val="bottom"/>
                  <w:hideMark/>
                </w:tcPr>
                <w:p w14:paraId="7AE84E6D"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13,522 </w:t>
                  </w:r>
                </w:p>
              </w:tc>
              <w:tc>
                <w:tcPr>
                  <w:tcW w:w="1445" w:type="dxa"/>
                  <w:tcBorders>
                    <w:top w:val="nil"/>
                    <w:left w:val="nil"/>
                    <w:bottom w:val="nil"/>
                    <w:right w:val="nil"/>
                  </w:tcBorders>
                  <w:shd w:val="clear" w:color="auto" w:fill="auto"/>
                  <w:noWrap/>
                  <w:vAlign w:val="bottom"/>
                  <w:hideMark/>
                </w:tcPr>
                <w:p w14:paraId="3D15B41E"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207,971 </w:t>
                  </w:r>
                </w:p>
              </w:tc>
            </w:tr>
            <w:tr w:rsidR="00070AB9" w:rsidRPr="00070AB9" w14:paraId="7D4B6423" w14:textId="77777777" w:rsidTr="00671B02">
              <w:trPr>
                <w:trHeight w:val="271"/>
              </w:trPr>
              <w:tc>
                <w:tcPr>
                  <w:tcW w:w="1137" w:type="dxa"/>
                  <w:tcBorders>
                    <w:top w:val="nil"/>
                    <w:left w:val="nil"/>
                    <w:bottom w:val="nil"/>
                    <w:right w:val="nil"/>
                  </w:tcBorders>
                  <w:shd w:val="clear" w:color="000000" w:fill="FFFFFF"/>
                  <w:noWrap/>
                  <w:vAlign w:val="bottom"/>
                  <w:hideMark/>
                </w:tcPr>
                <w:p w14:paraId="4B2F736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1999</w:t>
                  </w:r>
                </w:p>
              </w:tc>
              <w:tc>
                <w:tcPr>
                  <w:tcW w:w="1160" w:type="dxa"/>
                  <w:tcBorders>
                    <w:top w:val="nil"/>
                    <w:left w:val="nil"/>
                    <w:bottom w:val="nil"/>
                    <w:right w:val="nil"/>
                  </w:tcBorders>
                  <w:shd w:val="clear" w:color="000000" w:fill="FFFFFF"/>
                  <w:noWrap/>
                  <w:vAlign w:val="bottom"/>
                  <w:hideMark/>
                </w:tcPr>
                <w:p w14:paraId="766C58E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85,847 </w:t>
                  </w:r>
                </w:p>
              </w:tc>
              <w:tc>
                <w:tcPr>
                  <w:tcW w:w="1160" w:type="dxa"/>
                  <w:tcBorders>
                    <w:top w:val="nil"/>
                    <w:left w:val="nil"/>
                    <w:bottom w:val="nil"/>
                    <w:right w:val="nil"/>
                  </w:tcBorders>
                  <w:shd w:val="clear" w:color="000000" w:fill="FFFFFF"/>
                  <w:noWrap/>
                  <w:vAlign w:val="bottom"/>
                  <w:hideMark/>
                </w:tcPr>
                <w:p w14:paraId="359B0E6D"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53,970 </w:t>
                  </w:r>
                </w:p>
              </w:tc>
              <w:tc>
                <w:tcPr>
                  <w:tcW w:w="1160" w:type="dxa"/>
                  <w:tcBorders>
                    <w:top w:val="nil"/>
                    <w:left w:val="nil"/>
                    <w:bottom w:val="nil"/>
                    <w:right w:val="nil"/>
                  </w:tcBorders>
                  <w:shd w:val="clear" w:color="000000" w:fill="FFFFFF"/>
                  <w:noWrap/>
                  <w:vAlign w:val="bottom"/>
                  <w:hideMark/>
                </w:tcPr>
                <w:p w14:paraId="18853F2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18,065 </w:t>
                  </w:r>
                </w:p>
              </w:tc>
              <w:tc>
                <w:tcPr>
                  <w:tcW w:w="1132" w:type="dxa"/>
                  <w:tcBorders>
                    <w:top w:val="nil"/>
                    <w:left w:val="nil"/>
                    <w:bottom w:val="nil"/>
                    <w:right w:val="nil"/>
                  </w:tcBorders>
                  <w:shd w:val="clear" w:color="000000" w:fill="FFFFFF"/>
                  <w:noWrap/>
                  <w:vAlign w:val="bottom"/>
                  <w:hideMark/>
                </w:tcPr>
                <w:p w14:paraId="4AD4363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40,928 </w:t>
                  </w:r>
                </w:p>
              </w:tc>
              <w:tc>
                <w:tcPr>
                  <w:tcW w:w="947" w:type="dxa"/>
                  <w:tcBorders>
                    <w:top w:val="nil"/>
                    <w:left w:val="nil"/>
                    <w:bottom w:val="nil"/>
                    <w:right w:val="nil"/>
                  </w:tcBorders>
                  <w:shd w:val="clear" w:color="000000" w:fill="FFFFFF"/>
                  <w:noWrap/>
                  <w:vAlign w:val="bottom"/>
                  <w:hideMark/>
                </w:tcPr>
                <w:p w14:paraId="4A3102F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14,122 </w:t>
                  </w:r>
                </w:p>
              </w:tc>
              <w:tc>
                <w:tcPr>
                  <w:tcW w:w="1445" w:type="dxa"/>
                  <w:tcBorders>
                    <w:top w:val="nil"/>
                    <w:left w:val="nil"/>
                    <w:bottom w:val="nil"/>
                    <w:right w:val="nil"/>
                  </w:tcBorders>
                  <w:shd w:val="clear" w:color="auto" w:fill="auto"/>
                  <w:noWrap/>
                  <w:vAlign w:val="bottom"/>
                  <w:hideMark/>
                </w:tcPr>
                <w:p w14:paraId="554CC5C1"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212,932 </w:t>
                  </w:r>
                </w:p>
              </w:tc>
            </w:tr>
            <w:tr w:rsidR="00070AB9" w:rsidRPr="00070AB9" w14:paraId="48A5D09B" w14:textId="77777777" w:rsidTr="00671B02">
              <w:trPr>
                <w:trHeight w:val="271"/>
              </w:trPr>
              <w:tc>
                <w:tcPr>
                  <w:tcW w:w="1137" w:type="dxa"/>
                  <w:tcBorders>
                    <w:top w:val="nil"/>
                    <w:left w:val="nil"/>
                    <w:bottom w:val="nil"/>
                    <w:right w:val="nil"/>
                  </w:tcBorders>
                  <w:shd w:val="clear" w:color="000000" w:fill="FFFFFF"/>
                  <w:noWrap/>
                  <w:vAlign w:val="bottom"/>
                  <w:hideMark/>
                </w:tcPr>
                <w:p w14:paraId="504D898D"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2000</w:t>
                  </w:r>
                </w:p>
              </w:tc>
              <w:tc>
                <w:tcPr>
                  <w:tcW w:w="1160" w:type="dxa"/>
                  <w:tcBorders>
                    <w:top w:val="nil"/>
                    <w:left w:val="nil"/>
                    <w:bottom w:val="nil"/>
                    <w:right w:val="nil"/>
                  </w:tcBorders>
                  <w:shd w:val="clear" w:color="000000" w:fill="FFFFFF"/>
                  <w:noWrap/>
                  <w:vAlign w:val="bottom"/>
                  <w:hideMark/>
                </w:tcPr>
                <w:p w14:paraId="49A2C35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85,935 </w:t>
                  </w:r>
                </w:p>
              </w:tc>
              <w:tc>
                <w:tcPr>
                  <w:tcW w:w="1160" w:type="dxa"/>
                  <w:tcBorders>
                    <w:top w:val="nil"/>
                    <w:left w:val="nil"/>
                    <w:bottom w:val="nil"/>
                    <w:right w:val="nil"/>
                  </w:tcBorders>
                  <w:shd w:val="clear" w:color="000000" w:fill="FFFFFF"/>
                  <w:noWrap/>
                  <w:vAlign w:val="bottom"/>
                  <w:hideMark/>
                </w:tcPr>
                <w:p w14:paraId="042D71C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52,804 </w:t>
                  </w:r>
                </w:p>
              </w:tc>
              <w:tc>
                <w:tcPr>
                  <w:tcW w:w="1160" w:type="dxa"/>
                  <w:tcBorders>
                    <w:top w:val="nil"/>
                    <w:left w:val="nil"/>
                    <w:bottom w:val="nil"/>
                    <w:right w:val="nil"/>
                  </w:tcBorders>
                  <w:shd w:val="clear" w:color="000000" w:fill="FFFFFF"/>
                  <w:noWrap/>
                  <w:vAlign w:val="bottom"/>
                  <w:hideMark/>
                </w:tcPr>
                <w:p w14:paraId="5E735CA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20,682 </w:t>
                  </w:r>
                </w:p>
              </w:tc>
              <w:tc>
                <w:tcPr>
                  <w:tcW w:w="1132" w:type="dxa"/>
                  <w:tcBorders>
                    <w:top w:val="nil"/>
                    <w:left w:val="nil"/>
                    <w:bottom w:val="nil"/>
                    <w:right w:val="nil"/>
                  </w:tcBorders>
                  <w:shd w:val="clear" w:color="000000" w:fill="FFFFFF"/>
                  <w:noWrap/>
                  <w:vAlign w:val="bottom"/>
                  <w:hideMark/>
                </w:tcPr>
                <w:p w14:paraId="0AB544D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44,221 </w:t>
                  </w:r>
                </w:p>
              </w:tc>
              <w:tc>
                <w:tcPr>
                  <w:tcW w:w="947" w:type="dxa"/>
                  <w:tcBorders>
                    <w:top w:val="nil"/>
                    <w:left w:val="nil"/>
                    <w:bottom w:val="nil"/>
                    <w:right w:val="nil"/>
                  </w:tcBorders>
                  <w:shd w:val="clear" w:color="000000" w:fill="FFFFFF"/>
                  <w:noWrap/>
                  <w:vAlign w:val="bottom"/>
                  <w:hideMark/>
                </w:tcPr>
                <w:p w14:paraId="671E8FF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14,932 </w:t>
                  </w:r>
                </w:p>
              </w:tc>
              <w:tc>
                <w:tcPr>
                  <w:tcW w:w="1445" w:type="dxa"/>
                  <w:tcBorders>
                    <w:top w:val="nil"/>
                    <w:left w:val="nil"/>
                    <w:bottom w:val="nil"/>
                    <w:right w:val="nil"/>
                  </w:tcBorders>
                  <w:shd w:val="clear" w:color="auto" w:fill="auto"/>
                  <w:noWrap/>
                  <w:vAlign w:val="bottom"/>
                  <w:hideMark/>
                </w:tcPr>
                <w:p w14:paraId="1A8703B4"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218,574 </w:t>
                  </w:r>
                </w:p>
              </w:tc>
            </w:tr>
            <w:tr w:rsidR="00070AB9" w:rsidRPr="00070AB9" w14:paraId="30B16B48" w14:textId="77777777" w:rsidTr="00671B02">
              <w:trPr>
                <w:trHeight w:val="271"/>
              </w:trPr>
              <w:tc>
                <w:tcPr>
                  <w:tcW w:w="1137" w:type="dxa"/>
                  <w:tcBorders>
                    <w:top w:val="nil"/>
                    <w:left w:val="nil"/>
                    <w:bottom w:val="nil"/>
                    <w:right w:val="nil"/>
                  </w:tcBorders>
                  <w:shd w:val="clear" w:color="000000" w:fill="FFFFFF"/>
                  <w:noWrap/>
                  <w:vAlign w:val="bottom"/>
                  <w:hideMark/>
                </w:tcPr>
                <w:p w14:paraId="1C40975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2001</w:t>
                  </w:r>
                </w:p>
              </w:tc>
              <w:tc>
                <w:tcPr>
                  <w:tcW w:w="1160" w:type="dxa"/>
                  <w:tcBorders>
                    <w:top w:val="nil"/>
                    <w:left w:val="nil"/>
                    <w:bottom w:val="nil"/>
                    <w:right w:val="nil"/>
                  </w:tcBorders>
                  <w:shd w:val="clear" w:color="000000" w:fill="FFFFFF"/>
                  <w:noWrap/>
                  <w:vAlign w:val="bottom"/>
                  <w:hideMark/>
                </w:tcPr>
                <w:p w14:paraId="74FA8D9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86,905 </w:t>
                  </w:r>
                </w:p>
              </w:tc>
              <w:tc>
                <w:tcPr>
                  <w:tcW w:w="1160" w:type="dxa"/>
                  <w:tcBorders>
                    <w:top w:val="nil"/>
                    <w:left w:val="nil"/>
                    <w:bottom w:val="nil"/>
                    <w:right w:val="nil"/>
                  </w:tcBorders>
                  <w:shd w:val="clear" w:color="000000" w:fill="FFFFFF"/>
                  <w:noWrap/>
                  <w:vAlign w:val="bottom"/>
                  <w:hideMark/>
                </w:tcPr>
                <w:p w14:paraId="4B16C16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52,158 </w:t>
                  </w:r>
                </w:p>
              </w:tc>
              <w:tc>
                <w:tcPr>
                  <w:tcW w:w="1160" w:type="dxa"/>
                  <w:tcBorders>
                    <w:top w:val="nil"/>
                    <w:left w:val="nil"/>
                    <w:bottom w:val="nil"/>
                    <w:right w:val="nil"/>
                  </w:tcBorders>
                  <w:shd w:val="clear" w:color="000000" w:fill="FFFFFF"/>
                  <w:noWrap/>
                  <w:vAlign w:val="bottom"/>
                  <w:hideMark/>
                </w:tcPr>
                <w:p w14:paraId="43068DD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23,844 </w:t>
                  </w:r>
                </w:p>
              </w:tc>
              <w:tc>
                <w:tcPr>
                  <w:tcW w:w="1132" w:type="dxa"/>
                  <w:tcBorders>
                    <w:top w:val="nil"/>
                    <w:left w:val="nil"/>
                    <w:bottom w:val="nil"/>
                    <w:right w:val="nil"/>
                  </w:tcBorders>
                  <w:shd w:val="clear" w:color="000000" w:fill="FFFFFF"/>
                  <w:noWrap/>
                  <w:vAlign w:val="bottom"/>
                  <w:hideMark/>
                </w:tcPr>
                <w:p w14:paraId="6D7B7F5D"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47,716 </w:t>
                  </w:r>
                </w:p>
              </w:tc>
              <w:tc>
                <w:tcPr>
                  <w:tcW w:w="947" w:type="dxa"/>
                  <w:tcBorders>
                    <w:top w:val="nil"/>
                    <w:left w:val="nil"/>
                    <w:bottom w:val="nil"/>
                    <w:right w:val="nil"/>
                  </w:tcBorders>
                  <w:shd w:val="clear" w:color="000000" w:fill="FFFFFF"/>
                  <w:noWrap/>
                  <w:vAlign w:val="bottom"/>
                  <w:hideMark/>
                </w:tcPr>
                <w:p w14:paraId="35D1F6F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15,987 </w:t>
                  </w:r>
                </w:p>
              </w:tc>
              <w:tc>
                <w:tcPr>
                  <w:tcW w:w="1445" w:type="dxa"/>
                  <w:tcBorders>
                    <w:top w:val="nil"/>
                    <w:left w:val="nil"/>
                    <w:bottom w:val="nil"/>
                    <w:right w:val="nil"/>
                  </w:tcBorders>
                  <w:shd w:val="clear" w:color="auto" w:fill="auto"/>
                  <w:noWrap/>
                  <w:vAlign w:val="bottom"/>
                  <w:hideMark/>
                </w:tcPr>
                <w:p w14:paraId="52FC3606"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226,610 </w:t>
                  </w:r>
                </w:p>
              </w:tc>
            </w:tr>
            <w:tr w:rsidR="00070AB9" w:rsidRPr="00070AB9" w14:paraId="5081CEC1" w14:textId="77777777" w:rsidTr="00671B02">
              <w:trPr>
                <w:trHeight w:val="271"/>
              </w:trPr>
              <w:tc>
                <w:tcPr>
                  <w:tcW w:w="1137" w:type="dxa"/>
                  <w:tcBorders>
                    <w:top w:val="nil"/>
                    <w:left w:val="nil"/>
                    <w:bottom w:val="nil"/>
                    <w:right w:val="nil"/>
                  </w:tcBorders>
                  <w:shd w:val="clear" w:color="000000" w:fill="FFFFFF"/>
                  <w:noWrap/>
                  <w:vAlign w:val="bottom"/>
                  <w:hideMark/>
                </w:tcPr>
                <w:p w14:paraId="216D809A"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2002</w:t>
                  </w:r>
                </w:p>
              </w:tc>
              <w:tc>
                <w:tcPr>
                  <w:tcW w:w="1160" w:type="dxa"/>
                  <w:tcBorders>
                    <w:top w:val="nil"/>
                    <w:left w:val="nil"/>
                    <w:bottom w:val="nil"/>
                    <w:right w:val="nil"/>
                  </w:tcBorders>
                  <w:shd w:val="clear" w:color="000000" w:fill="FFFFFF"/>
                  <w:noWrap/>
                  <w:vAlign w:val="bottom"/>
                  <w:hideMark/>
                </w:tcPr>
                <w:p w14:paraId="00EB467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87,576 </w:t>
                  </w:r>
                </w:p>
              </w:tc>
              <w:tc>
                <w:tcPr>
                  <w:tcW w:w="1160" w:type="dxa"/>
                  <w:tcBorders>
                    <w:top w:val="nil"/>
                    <w:left w:val="nil"/>
                    <w:bottom w:val="nil"/>
                    <w:right w:val="nil"/>
                  </w:tcBorders>
                  <w:shd w:val="clear" w:color="000000" w:fill="FFFFFF"/>
                  <w:noWrap/>
                  <w:vAlign w:val="bottom"/>
                  <w:hideMark/>
                </w:tcPr>
                <w:p w14:paraId="5CFA6D9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52,900 </w:t>
                  </w:r>
                </w:p>
              </w:tc>
              <w:tc>
                <w:tcPr>
                  <w:tcW w:w="1160" w:type="dxa"/>
                  <w:tcBorders>
                    <w:top w:val="nil"/>
                    <w:left w:val="nil"/>
                    <w:bottom w:val="nil"/>
                    <w:right w:val="nil"/>
                  </w:tcBorders>
                  <w:shd w:val="clear" w:color="000000" w:fill="FFFFFF"/>
                  <w:noWrap/>
                  <w:vAlign w:val="bottom"/>
                  <w:hideMark/>
                </w:tcPr>
                <w:p w14:paraId="0E4AFC1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27,802 </w:t>
                  </w:r>
                </w:p>
              </w:tc>
              <w:tc>
                <w:tcPr>
                  <w:tcW w:w="1132" w:type="dxa"/>
                  <w:tcBorders>
                    <w:top w:val="nil"/>
                    <w:left w:val="nil"/>
                    <w:bottom w:val="nil"/>
                    <w:right w:val="nil"/>
                  </w:tcBorders>
                  <w:shd w:val="clear" w:color="000000" w:fill="FFFFFF"/>
                  <w:noWrap/>
                  <w:vAlign w:val="bottom"/>
                  <w:hideMark/>
                </w:tcPr>
                <w:p w14:paraId="6DB5F98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49,243 </w:t>
                  </w:r>
                </w:p>
              </w:tc>
              <w:tc>
                <w:tcPr>
                  <w:tcW w:w="947" w:type="dxa"/>
                  <w:tcBorders>
                    <w:top w:val="nil"/>
                    <w:left w:val="nil"/>
                    <w:bottom w:val="nil"/>
                    <w:right w:val="nil"/>
                  </w:tcBorders>
                  <w:shd w:val="clear" w:color="000000" w:fill="FFFFFF"/>
                  <w:noWrap/>
                  <w:vAlign w:val="bottom"/>
                  <w:hideMark/>
                </w:tcPr>
                <w:p w14:paraId="7932EE4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17,653 </w:t>
                  </w:r>
                </w:p>
              </w:tc>
              <w:tc>
                <w:tcPr>
                  <w:tcW w:w="1445" w:type="dxa"/>
                  <w:tcBorders>
                    <w:top w:val="nil"/>
                    <w:left w:val="nil"/>
                    <w:bottom w:val="nil"/>
                    <w:right w:val="nil"/>
                  </w:tcBorders>
                  <w:shd w:val="clear" w:color="auto" w:fill="auto"/>
                  <w:noWrap/>
                  <w:vAlign w:val="bottom"/>
                  <w:hideMark/>
                </w:tcPr>
                <w:p w14:paraId="31EC478E"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235,174 </w:t>
                  </w:r>
                </w:p>
              </w:tc>
            </w:tr>
            <w:tr w:rsidR="00070AB9" w:rsidRPr="00070AB9" w14:paraId="646DF508" w14:textId="77777777" w:rsidTr="00671B02">
              <w:trPr>
                <w:trHeight w:val="271"/>
              </w:trPr>
              <w:tc>
                <w:tcPr>
                  <w:tcW w:w="1137" w:type="dxa"/>
                  <w:tcBorders>
                    <w:top w:val="nil"/>
                    <w:left w:val="nil"/>
                    <w:bottom w:val="nil"/>
                    <w:right w:val="nil"/>
                  </w:tcBorders>
                  <w:shd w:val="clear" w:color="000000" w:fill="FFFFFF"/>
                  <w:noWrap/>
                  <w:vAlign w:val="bottom"/>
                  <w:hideMark/>
                </w:tcPr>
                <w:p w14:paraId="1EE5967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2003</w:t>
                  </w:r>
                </w:p>
              </w:tc>
              <w:tc>
                <w:tcPr>
                  <w:tcW w:w="1160" w:type="dxa"/>
                  <w:tcBorders>
                    <w:top w:val="nil"/>
                    <w:left w:val="nil"/>
                    <w:bottom w:val="nil"/>
                    <w:right w:val="nil"/>
                  </w:tcBorders>
                  <w:shd w:val="clear" w:color="000000" w:fill="FFFFFF"/>
                  <w:noWrap/>
                  <w:vAlign w:val="bottom"/>
                  <w:hideMark/>
                </w:tcPr>
                <w:p w14:paraId="68CADAC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90,891 </w:t>
                  </w:r>
                </w:p>
              </w:tc>
              <w:tc>
                <w:tcPr>
                  <w:tcW w:w="1160" w:type="dxa"/>
                  <w:tcBorders>
                    <w:top w:val="nil"/>
                    <w:left w:val="nil"/>
                    <w:bottom w:val="nil"/>
                    <w:right w:val="nil"/>
                  </w:tcBorders>
                  <w:shd w:val="clear" w:color="000000" w:fill="FFFFFF"/>
                  <w:noWrap/>
                  <w:vAlign w:val="bottom"/>
                  <w:hideMark/>
                </w:tcPr>
                <w:p w14:paraId="4936F16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53,666 </w:t>
                  </w:r>
                </w:p>
              </w:tc>
              <w:tc>
                <w:tcPr>
                  <w:tcW w:w="1160" w:type="dxa"/>
                  <w:tcBorders>
                    <w:top w:val="nil"/>
                    <w:left w:val="nil"/>
                    <w:bottom w:val="nil"/>
                    <w:right w:val="nil"/>
                  </w:tcBorders>
                  <w:shd w:val="clear" w:color="000000" w:fill="FFFFFF"/>
                  <w:noWrap/>
                  <w:vAlign w:val="bottom"/>
                  <w:hideMark/>
                </w:tcPr>
                <w:p w14:paraId="5BD9089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30,783 </w:t>
                  </w:r>
                </w:p>
              </w:tc>
              <w:tc>
                <w:tcPr>
                  <w:tcW w:w="1132" w:type="dxa"/>
                  <w:tcBorders>
                    <w:top w:val="nil"/>
                    <w:left w:val="nil"/>
                    <w:bottom w:val="nil"/>
                    <w:right w:val="nil"/>
                  </w:tcBorders>
                  <w:shd w:val="clear" w:color="000000" w:fill="FFFFFF"/>
                  <w:noWrap/>
                  <w:vAlign w:val="bottom"/>
                  <w:hideMark/>
                </w:tcPr>
                <w:p w14:paraId="302A62F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49,839 </w:t>
                  </w:r>
                </w:p>
              </w:tc>
              <w:tc>
                <w:tcPr>
                  <w:tcW w:w="947" w:type="dxa"/>
                  <w:tcBorders>
                    <w:top w:val="nil"/>
                    <w:left w:val="nil"/>
                    <w:bottom w:val="nil"/>
                    <w:right w:val="nil"/>
                  </w:tcBorders>
                  <w:shd w:val="clear" w:color="000000" w:fill="FFFFFF"/>
                  <w:noWrap/>
                  <w:vAlign w:val="bottom"/>
                  <w:hideMark/>
                </w:tcPr>
                <w:p w14:paraId="652371B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18,817 </w:t>
                  </w:r>
                </w:p>
              </w:tc>
              <w:tc>
                <w:tcPr>
                  <w:tcW w:w="1445" w:type="dxa"/>
                  <w:tcBorders>
                    <w:top w:val="nil"/>
                    <w:left w:val="nil"/>
                    <w:bottom w:val="nil"/>
                    <w:right w:val="nil"/>
                  </w:tcBorders>
                  <w:shd w:val="clear" w:color="auto" w:fill="auto"/>
                  <w:noWrap/>
                  <w:vAlign w:val="bottom"/>
                  <w:hideMark/>
                </w:tcPr>
                <w:p w14:paraId="1BCEB7CD"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243,996 </w:t>
                  </w:r>
                </w:p>
              </w:tc>
            </w:tr>
            <w:tr w:rsidR="00070AB9" w:rsidRPr="00070AB9" w14:paraId="6DB9CD3D" w14:textId="77777777" w:rsidTr="00671B02">
              <w:trPr>
                <w:trHeight w:val="271"/>
              </w:trPr>
              <w:tc>
                <w:tcPr>
                  <w:tcW w:w="1137" w:type="dxa"/>
                  <w:tcBorders>
                    <w:top w:val="nil"/>
                    <w:left w:val="nil"/>
                    <w:bottom w:val="nil"/>
                    <w:right w:val="nil"/>
                  </w:tcBorders>
                  <w:shd w:val="clear" w:color="000000" w:fill="FFFFFF"/>
                  <w:noWrap/>
                  <w:vAlign w:val="bottom"/>
                  <w:hideMark/>
                </w:tcPr>
                <w:p w14:paraId="695E31A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2004</w:t>
                  </w:r>
                </w:p>
              </w:tc>
              <w:tc>
                <w:tcPr>
                  <w:tcW w:w="1160" w:type="dxa"/>
                  <w:tcBorders>
                    <w:top w:val="nil"/>
                    <w:left w:val="nil"/>
                    <w:bottom w:val="nil"/>
                    <w:right w:val="nil"/>
                  </w:tcBorders>
                  <w:shd w:val="clear" w:color="000000" w:fill="FFFFFF"/>
                  <w:noWrap/>
                  <w:vAlign w:val="bottom"/>
                  <w:hideMark/>
                </w:tcPr>
                <w:p w14:paraId="5DA30C1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92,081 </w:t>
                  </w:r>
                </w:p>
              </w:tc>
              <w:tc>
                <w:tcPr>
                  <w:tcW w:w="1160" w:type="dxa"/>
                  <w:tcBorders>
                    <w:top w:val="nil"/>
                    <w:left w:val="nil"/>
                    <w:bottom w:val="nil"/>
                    <w:right w:val="nil"/>
                  </w:tcBorders>
                  <w:shd w:val="clear" w:color="000000" w:fill="FFFFFF"/>
                  <w:noWrap/>
                  <w:vAlign w:val="bottom"/>
                  <w:hideMark/>
                </w:tcPr>
                <w:p w14:paraId="53147C7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52,344 </w:t>
                  </w:r>
                </w:p>
              </w:tc>
              <w:tc>
                <w:tcPr>
                  <w:tcW w:w="1160" w:type="dxa"/>
                  <w:tcBorders>
                    <w:top w:val="nil"/>
                    <w:left w:val="nil"/>
                    <w:bottom w:val="nil"/>
                    <w:right w:val="nil"/>
                  </w:tcBorders>
                  <w:shd w:val="clear" w:color="000000" w:fill="FFFFFF"/>
                  <w:noWrap/>
                  <w:vAlign w:val="bottom"/>
                  <w:hideMark/>
                </w:tcPr>
                <w:p w14:paraId="53F7C97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33,077 </w:t>
                  </w:r>
                </w:p>
              </w:tc>
              <w:tc>
                <w:tcPr>
                  <w:tcW w:w="1132" w:type="dxa"/>
                  <w:tcBorders>
                    <w:top w:val="nil"/>
                    <w:left w:val="nil"/>
                    <w:bottom w:val="nil"/>
                    <w:right w:val="nil"/>
                  </w:tcBorders>
                  <w:shd w:val="clear" w:color="000000" w:fill="FFFFFF"/>
                  <w:noWrap/>
                  <w:vAlign w:val="bottom"/>
                  <w:hideMark/>
                </w:tcPr>
                <w:p w14:paraId="63F85A6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49,985 </w:t>
                  </w:r>
                </w:p>
              </w:tc>
              <w:tc>
                <w:tcPr>
                  <w:tcW w:w="947" w:type="dxa"/>
                  <w:tcBorders>
                    <w:top w:val="nil"/>
                    <w:left w:val="nil"/>
                    <w:bottom w:val="nil"/>
                    <w:right w:val="nil"/>
                  </w:tcBorders>
                  <w:shd w:val="clear" w:color="000000" w:fill="FFFFFF"/>
                  <w:noWrap/>
                  <w:vAlign w:val="bottom"/>
                  <w:hideMark/>
                </w:tcPr>
                <w:p w14:paraId="49B0230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20,715 </w:t>
                  </w:r>
                </w:p>
              </w:tc>
              <w:tc>
                <w:tcPr>
                  <w:tcW w:w="1445" w:type="dxa"/>
                  <w:tcBorders>
                    <w:top w:val="nil"/>
                    <w:left w:val="nil"/>
                    <w:bottom w:val="nil"/>
                    <w:right w:val="nil"/>
                  </w:tcBorders>
                  <w:shd w:val="clear" w:color="auto" w:fill="auto"/>
                  <w:noWrap/>
                  <w:vAlign w:val="bottom"/>
                  <w:hideMark/>
                </w:tcPr>
                <w:p w14:paraId="053C19E3"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248,202 </w:t>
                  </w:r>
                </w:p>
              </w:tc>
            </w:tr>
            <w:tr w:rsidR="00070AB9" w:rsidRPr="00070AB9" w14:paraId="0877C63C" w14:textId="77777777" w:rsidTr="00671B02">
              <w:trPr>
                <w:trHeight w:val="271"/>
              </w:trPr>
              <w:tc>
                <w:tcPr>
                  <w:tcW w:w="1137" w:type="dxa"/>
                  <w:tcBorders>
                    <w:top w:val="nil"/>
                    <w:left w:val="nil"/>
                    <w:bottom w:val="nil"/>
                    <w:right w:val="nil"/>
                  </w:tcBorders>
                  <w:shd w:val="clear" w:color="000000" w:fill="FFFFFF"/>
                  <w:noWrap/>
                  <w:vAlign w:val="bottom"/>
                  <w:hideMark/>
                </w:tcPr>
                <w:p w14:paraId="0C038AB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2005</w:t>
                  </w:r>
                </w:p>
              </w:tc>
              <w:tc>
                <w:tcPr>
                  <w:tcW w:w="1160" w:type="dxa"/>
                  <w:tcBorders>
                    <w:top w:val="nil"/>
                    <w:left w:val="nil"/>
                    <w:bottom w:val="nil"/>
                    <w:right w:val="nil"/>
                  </w:tcBorders>
                  <w:shd w:val="clear" w:color="000000" w:fill="FFFFFF"/>
                  <w:noWrap/>
                  <w:vAlign w:val="bottom"/>
                  <w:hideMark/>
                </w:tcPr>
                <w:p w14:paraId="7EED0AC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93,204 </w:t>
                  </w:r>
                </w:p>
              </w:tc>
              <w:tc>
                <w:tcPr>
                  <w:tcW w:w="1160" w:type="dxa"/>
                  <w:tcBorders>
                    <w:top w:val="nil"/>
                    <w:left w:val="nil"/>
                    <w:bottom w:val="nil"/>
                    <w:right w:val="nil"/>
                  </w:tcBorders>
                  <w:shd w:val="clear" w:color="000000" w:fill="FFFFFF"/>
                  <w:noWrap/>
                  <w:vAlign w:val="bottom"/>
                  <w:hideMark/>
                </w:tcPr>
                <w:p w14:paraId="66C484D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53,110 </w:t>
                  </w:r>
                </w:p>
              </w:tc>
              <w:tc>
                <w:tcPr>
                  <w:tcW w:w="1160" w:type="dxa"/>
                  <w:tcBorders>
                    <w:top w:val="nil"/>
                    <w:left w:val="nil"/>
                    <w:bottom w:val="nil"/>
                    <w:right w:val="nil"/>
                  </w:tcBorders>
                  <w:shd w:val="clear" w:color="000000" w:fill="FFFFFF"/>
                  <w:noWrap/>
                  <w:vAlign w:val="bottom"/>
                  <w:hideMark/>
                </w:tcPr>
                <w:p w14:paraId="1C29C7DD"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35,877 </w:t>
                  </w:r>
                </w:p>
              </w:tc>
              <w:tc>
                <w:tcPr>
                  <w:tcW w:w="1132" w:type="dxa"/>
                  <w:tcBorders>
                    <w:top w:val="nil"/>
                    <w:left w:val="nil"/>
                    <w:bottom w:val="nil"/>
                    <w:right w:val="nil"/>
                  </w:tcBorders>
                  <w:shd w:val="clear" w:color="000000" w:fill="FFFFFF"/>
                  <w:noWrap/>
                  <w:vAlign w:val="bottom"/>
                  <w:hideMark/>
                </w:tcPr>
                <w:p w14:paraId="09E517E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51,100 </w:t>
                  </w:r>
                </w:p>
              </w:tc>
              <w:tc>
                <w:tcPr>
                  <w:tcW w:w="947" w:type="dxa"/>
                  <w:tcBorders>
                    <w:top w:val="nil"/>
                    <w:left w:val="nil"/>
                    <w:bottom w:val="nil"/>
                    <w:right w:val="nil"/>
                  </w:tcBorders>
                  <w:shd w:val="clear" w:color="000000" w:fill="FFFFFF"/>
                  <w:noWrap/>
                  <w:vAlign w:val="bottom"/>
                  <w:hideMark/>
                </w:tcPr>
                <w:p w14:paraId="34D25EEB"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20,638 </w:t>
                  </w:r>
                </w:p>
              </w:tc>
              <w:tc>
                <w:tcPr>
                  <w:tcW w:w="1445" w:type="dxa"/>
                  <w:tcBorders>
                    <w:top w:val="nil"/>
                    <w:left w:val="nil"/>
                    <w:bottom w:val="nil"/>
                    <w:right w:val="nil"/>
                  </w:tcBorders>
                  <w:shd w:val="clear" w:color="auto" w:fill="auto"/>
                  <w:noWrap/>
                  <w:vAlign w:val="bottom"/>
                  <w:hideMark/>
                </w:tcPr>
                <w:p w14:paraId="05903617"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253,929 </w:t>
                  </w:r>
                </w:p>
              </w:tc>
            </w:tr>
            <w:tr w:rsidR="00070AB9" w:rsidRPr="00070AB9" w14:paraId="09497931" w14:textId="77777777" w:rsidTr="00671B02">
              <w:trPr>
                <w:trHeight w:val="271"/>
              </w:trPr>
              <w:tc>
                <w:tcPr>
                  <w:tcW w:w="1137" w:type="dxa"/>
                  <w:tcBorders>
                    <w:top w:val="nil"/>
                    <w:left w:val="nil"/>
                    <w:bottom w:val="nil"/>
                    <w:right w:val="nil"/>
                  </w:tcBorders>
                  <w:shd w:val="clear" w:color="000000" w:fill="FFFFFF"/>
                  <w:noWrap/>
                  <w:vAlign w:val="bottom"/>
                  <w:hideMark/>
                </w:tcPr>
                <w:p w14:paraId="75FC8FE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2006</w:t>
                  </w:r>
                </w:p>
              </w:tc>
              <w:tc>
                <w:tcPr>
                  <w:tcW w:w="1160" w:type="dxa"/>
                  <w:tcBorders>
                    <w:top w:val="nil"/>
                    <w:left w:val="nil"/>
                    <w:bottom w:val="nil"/>
                    <w:right w:val="nil"/>
                  </w:tcBorders>
                  <w:shd w:val="clear" w:color="000000" w:fill="FFFFFF"/>
                  <w:noWrap/>
                  <w:vAlign w:val="bottom"/>
                  <w:hideMark/>
                </w:tcPr>
                <w:p w14:paraId="7529CC9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93,390 </w:t>
                  </w:r>
                </w:p>
              </w:tc>
              <w:tc>
                <w:tcPr>
                  <w:tcW w:w="1160" w:type="dxa"/>
                  <w:tcBorders>
                    <w:top w:val="nil"/>
                    <w:left w:val="nil"/>
                    <w:bottom w:val="nil"/>
                    <w:right w:val="nil"/>
                  </w:tcBorders>
                  <w:shd w:val="clear" w:color="000000" w:fill="FFFFFF"/>
                  <w:noWrap/>
                  <w:vAlign w:val="bottom"/>
                  <w:hideMark/>
                </w:tcPr>
                <w:p w14:paraId="5F9B7D5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51,569 </w:t>
                  </w:r>
                </w:p>
              </w:tc>
              <w:tc>
                <w:tcPr>
                  <w:tcW w:w="1160" w:type="dxa"/>
                  <w:tcBorders>
                    <w:top w:val="nil"/>
                    <w:left w:val="nil"/>
                    <w:bottom w:val="nil"/>
                    <w:right w:val="nil"/>
                  </w:tcBorders>
                  <w:shd w:val="clear" w:color="000000" w:fill="FFFFFF"/>
                  <w:noWrap/>
                  <w:vAlign w:val="bottom"/>
                  <w:hideMark/>
                </w:tcPr>
                <w:p w14:paraId="6B23AE5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38,888 </w:t>
                  </w:r>
                </w:p>
              </w:tc>
              <w:tc>
                <w:tcPr>
                  <w:tcW w:w="1132" w:type="dxa"/>
                  <w:tcBorders>
                    <w:top w:val="nil"/>
                    <w:left w:val="nil"/>
                    <w:bottom w:val="nil"/>
                    <w:right w:val="nil"/>
                  </w:tcBorders>
                  <w:shd w:val="clear" w:color="000000" w:fill="FFFFFF"/>
                  <w:noWrap/>
                  <w:vAlign w:val="bottom"/>
                  <w:hideMark/>
                </w:tcPr>
                <w:p w14:paraId="52E453F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52,789 </w:t>
                  </w:r>
                </w:p>
              </w:tc>
              <w:tc>
                <w:tcPr>
                  <w:tcW w:w="947" w:type="dxa"/>
                  <w:tcBorders>
                    <w:top w:val="nil"/>
                    <w:left w:val="nil"/>
                    <w:bottom w:val="nil"/>
                    <w:right w:val="nil"/>
                  </w:tcBorders>
                  <w:shd w:val="clear" w:color="000000" w:fill="FFFFFF"/>
                  <w:noWrap/>
                  <w:vAlign w:val="bottom"/>
                  <w:hideMark/>
                </w:tcPr>
                <w:p w14:paraId="1C75F71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21,385 </w:t>
                  </w:r>
                </w:p>
              </w:tc>
              <w:tc>
                <w:tcPr>
                  <w:tcW w:w="1445" w:type="dxa"/>
                  <w:tcBorders>
                    <w:top w:val="nil"/>
                    <w:left w:val="nil"/>
                    <w:bottom w:val="nil"/>
                    <w:right w:val="nil"/>
                  </w:tcBorders>
                  <w:shd w:val="clear" w:color="auto" w:fill="auto"/>
                  <w:noWrap/>
                  <w:vAlign w:val="bottom"/>
                  <w:hideMark/>
                </w:tcPr>
                <w:p w14:paraId="7494BDFD"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258,021 </w:t>
                  </w:r>
                </w:p>
              </w:tc>
            </w:tr>
            <w:tr w:rsidR="00070AB9" w:rsidRPr="00070AB9" w14:paraId="5F06D889" w14:textId="77777777" w:rsidTr="00671B02">
              <w:trPr>
                <w:trHeight w:val="271"/>
              </w:trPr>
              <w:tc>
                <w:tcPr>
                  <w:tcW w:w="1137" w:type="dxa"/>
                  <w:tcBorders>
                    <w:top w:val="nil"/>
                    <w:left w:val="nil"/>
                    <w:bottom w:val="nil"/>
                    <w:right w:val="nil"/>
                  </w:tcBorders>
                  <w:shd w:val="clear" w:color="000000" w:fill="FFFFFF"/>
                  <w:noWrap/>
                  <w:vAlign w:val="bottom"/>
                  <w:hideMark/>
                </w:tcPr>
                <w:p w14:paraId="62BAFE0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2007</w:t>
                  </w:r>
                </w:p>
              </w:tc>
              <w:tc>
                <w:tcPr>
                  <w:tcW w:w="1160" w:type="dxa"/>
                  <w:tcBorders>
                    <w:top w:val="nil"/>
                    <w:left w:val="nil"/>
                    <w:bottom w:val="nil"/>
                    <w:right w:val="nil"/>
                  </w:tcBorders>
                  <w:shd w:val="clear" w:color="000000" w:fill="FFFFFF"/>
                  <w:noWrap/>
                  <w:vAlign w:val="bottom"/>
                  <w:hideMark/>
                </w:tcPr>
                <w:p w14:paraId="3AB0395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93,483 </w:t>
                  </w:r>
                </w:p>
              </w:tc>
              <w:tc>
                <w:tcPr>
                  <w:tcW w:w="1160" w:type="dxa"/>
                  <w:tcBorders>
                    <w:top w:val="nil"/>
                    <w:left w:val="nil"/>
                    <w:bottom w:val="nil"/>
                    <w:right w:val="nil"/>
                  </w:tcBorders>
                  <w:shd w:val="clear" w:color="000000" w:fill="FFFFFF"/>
                  <w:noWrap/>
                  <w:vAlign w:val="bottom"/>
                  <w:hideMark/>
                </w:tcPr>
                <w:p w14:paraId="1594C6E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50,449 </w:t>
                  </w:r>
                </w:p>
              </w:tc>
              <w:tc>
                <w:tcPr>
                  <w:tcW w:w="1160" w:type="dxa"/>
                  <w:tcBorders>
                    <w:top w:val="nil"/>
                    <w:left w:val="nil"/>
                    <w:bottom w:val="nil"/>
                    <w:right w:val="nil"/>
                  </w:tcBorders>
                  <w:shd w:val="clear" w:color="000000" w:fill="FFFFFF"/>
                  <w:noWrap/>
                  <w:vAlign w:val="bottom"/>
                  <w:hideMark/>
                </w:tcPr>
                <w:p w14:paraId="079F4EE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41,352 </w:t>
                  </w:r>
                </w:p>
              </w:tc>
              <w:tc>
                <w:tcPr>
                  <w:tcW w:w="1132" w:type="dxa"/>
                  <w:tcBorders>
                    <w:top w:val="nil"/>
                    <w:left w:val="nil"/>
                    <w:bottom w:val="nil"/>
                    <w:right w:val="nil"/>
                  </w:tcBorders>
                  <w:shd w:val="clear" w:color="000000" w:fill="FFFFFF"/>
                  <w:noWrap/>
                  <w:vAlign w:val="bottom"/>
                  <w:hideMark/>
                </w:tcPr>
                <w:p w14:paraId="05A2DC9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53,959 </w:t>
                  </w:r>
                </w:p>
              </w:tc>
              <w:tc>
                <w:tcPr>
                  <w:tcW w:w="947" w:type="dxa"/>
                  <w:tcBorders>
                    <w:top w:val="nil"/>
                    <w:left w:val="nil"/>
                    <w:bottom w:val="nil"/>
                    <w:right w:val="nil"/>
                  </w:tcBorders>
                  <w:shd w:val="clear" w:color="000000" w:fill="FFFFFF"/>
                  <w:noWrap/>
                  <w:vAlign w:val="bottom"/>
                  <w:hideMark/>
                </w:tcPr>
                <w:p w14:paraId="53F5838A"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21,517 </w:t>
                  </w:r>
                </w:p>
              </w:tc>
              <w:tc>
                <w:tcPr>
                  <w:tcW w:w="1445" w:type="dxa"/>
                  <w:tcBorders>
                    <w:top w:val="nil"/>
                    <w:left w:val="nil"/>
                    <w:bottom w:val="nil"/>
                    <w:right w:val="nil"/>
                  </w:tcBorders>
                  <w:shd w:val="clear" w:color="auto" w:fill="auto"/>
                  <w:noWrap/>
                  <w:vAlign w:val="bottom"/>
                  <w:hideMark/>
                </w:tcPr>
                <w:p w14:paraId="0CC43A8D"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260,760 </w:t>
                  </w:r>
                </w:p>
              </w:tc>
            </w:tr>
            <w:tr w:rsidR="00070AB9" w:rsidRPr="00070AB9" w14:paraId="68AE3B35" w14:textId="77777777" w:rsidTr="00671B02">
              <w:trPr>
                <w:trHeight w:val="271"/>
              </w:trPr>
              <w:tc>
                <w:tcPr>
                  <w:tcW w:w="1137" w:type="dxa"/>
                  <w:tcBorders>
                    <w:top w:val="nil"/>
                    <w:left w:val="nil"/>
                    <w:bottom w:val="nil"/>
                    <w:right w:val="nil"/>
                  </w:tcBorders>
                  <w:shd w:val="clear" w:color="000000" w:fill="FFFFFF"/>
                  <w:noWrap/>
                  <w:vAlign w:val="bottom"/>
                  <w:hideMark/>
                </w:tcPr>
                <w:p w14:paraId="24ADEB2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2008</w:t>
                  </w:r>
                </w:p>
              </w:tc>
              <w:tc>
                <w:tcPr>
                  <w:tcW w:w="1160" w:type="dxa"/>
                  <w:tcBorders>
                    <w:top w:val="nil"/>
                    <w:left w:val="nil"/>
                    <w:bottom w:val="nil"/>
                    <w:right w:val="nil"/>
                  </w:tcBorders>
                  <w:shd w:val="clear" w:color="000000" w:fill="FFFFFF"/>
                  <w:noWrap/>
                  <w:vAlign w:val="bottom"/>
                  <w:hideMark/>
                </w:tcPr>
                <w:p w14:paraId="3F22A91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89,511 </w:t>
                  </w:r>
                </w:p>
              </w:tc>
              <w:tc>
                <w:tcPr>
                  <w:tcW w:w="1160" w:type="dxa"/>
                  <w:tcBorders>
                    <w:top w:val="nil"/>
                    <w:left w:val="nil"/>
                    <w:bottom w:val="nil"/>
                    <w:right w:val="nil"/>
                  </w:tcBorders>
                  <w:shd w:val="clear" w:color="000000" w:fill="FFFFFF"/>
                  <w:noWrap/>
                  <w:vAlign w:val="bottom"/>
                  <w:hideMark/>
                </w:tcPr>
                <w:p w14:paraId="2FBD5EC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50,348 </w:t>
                  </w:r>
                </w:p>
              </w:tc>
              <w:tc>
                <w:tcPr>
                  <w:tcW w:w="1160" w:type="dxa"/>
                  <w:tcBorders>
                    <w:top w:val="nil"/>
                    <w:left w:val="nil"/>
                    <w:bottom w:val="nil"/>
                    <w:right w:val="nil"/>
                  </w:tcBorders>
                  <w:shd w:val="clear" w:color="000000" w:fill="FFFFFF"/>
                  <w:noWrap/>
                  <w:vAlign w:val="bottom"/>
                  <w:hideMark/>
                </w:tcPr>
                <w:p w14:paraId="0EE9AB1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45,901 </w:t>
                  </w:r>
                </w:p>
              </w:tc>
              <w:tc>
                <w:tcPr>
                  <w:tcW w:w="1132" w:type="dxa"/>
                  <w:tcBorders>
                    <w:top w:val="nil"/>
                    <w:left w:val="nil"/>
                    <w:bottom w:val="nil"/>
                    <w:right w:val="nil"/>
                  </w:tcBorders>
                  <w:shd w:val="clear" w:color="000000" w:fill="FFFFFF"/>
                  <w:noWrap/>
                  <w:vAlign w:val="bottom"/>
                  <w:hideMark/>
                </w:tcPr>
                <w:p w14:paraId="3555976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50,378 </w:t>
                  </w:r>
                </w:p>
              </w:tc>
              <w:tc>
                <w:tcPr>
                  <w:tcW w:w="947" w:type="dxa"/>
                  <w:tcBorders>
                    <w:top w:val="nil"/>
                    <w:left w:val="nil"/>
                    <w:bottom w:val="nil"/>
                    <w:right w:val="nil"/>
                  </w:tcBorders>
                  <w:shd w:val="clear" w:color="000000" w:fill="FFFFFF"/>
                  <w:noWrap/>
                  <w:vAlign w:val="bottom"/>
                  <w:hideMark/>
                </w:tcPr>
                <w:p w14:paraId="2F9E228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20,261 </w:t>
                  </w:r>
                </w:p>
              </w:tc>
              <w:tc>
                <w:tcPr>
                  <w:tcW w:w="1445" w:type="dxa"/>
                  <w:tcBorders>
                    <w:top w:val="nil"/>
                    <w:left w:val="nil"/>
                    <w:bottom w:val="nil"/>
                    <w:right w:val="nil"/>
                  </w:tcBorders>
                  <w:shd w:val="clear" w:color="auto" w:fill="auto"/>
                  <w:noWrap/>
                  <w:vAlign w:val="bottom"/>
                  <w:hideMark/>
                </w:tcPr>
                <w:p w14:paraId="609FAC9F"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256,399 </w:t>
                  </w:r>
                </w:p>
              </w:tc>
            </w:tr>
            <w:tr w:rsidR="00070AB9" w:rsidRPr="00070AB9" w14:paraId="3716712C" w14:textId="77777777" w:rsidTr="00671B02">
              <w:trPr>
                <w:trHeight w:val="271"/>
              </w:trPr>
              <w:tc>
                <w:tcPr>
                  <w:tcW w:w="1137" w:type="dxa"/>
                  <w:tcBorders>
                    <w:top w:val="nil"/>
                    <w:left w:val="nil"/>
                    <w:bottom w:val="nil"/>
                    <w:right w:val="nil"/>
                  </w:tcBorders>
                  <w:shd w:val="clear" w:color="000000" w:fill="FFFFFF"/>
                  <w:noWrap/>
                  <w:vAlign w:val="bottom"/>
                  <w:hideMark/>
                </w:tcPr>
                <w:p w14:paraId="7F224C3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2009</w:t>
                  </w:r>
                </w:p>
              </w:tc>
              <w:tc>
                <w:tcPr>
                  <w:tcW w:w="1160" w:type="dxa"/>
                  <w:tcBorders>
                    <w:top w:val="nil"/>
                    <w:left w:val="nil"/>
                    <w:bottom w:val="nil"/>
                    <w:right w:val="nil"/>
                  </w:tcBorders>
                  <w:shd w:val="clear" w:color="000000" w:fill="FFFFFF"/>
                  <w:noWrap/>
                  <w:vAlign w:val="bottom"/>
                  <w:hideMark/>
                </w:tcPr>
                <w:p w14:paraId="61D31D1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86,979 </w:t>
                  </w:r>
                </w:p>
              </w:tc>
              <w:tc>
                <w:tcPr>
                  <w:tcW w:w="1160" w:type="dxa"/>
                  <w:tcBorders>
                    <w:top w:val="nil"/>
                    <w:left w:val="nil"/>
                    <w:bottom w:val="nil"/>
                    <w:right w:val="nil"/>
                  </w:tcBorders>
                  <w:shd w:val="clear" w:color="000000" w:fill="FFFFFF"/>
                  <w:noWrap/>
                  <w:vAlign w:val="bottom"/>
                  <w:hideMark/>
                </w:tcPr>
                <w:p w14:paraId="7B0FFB4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49,646 </w:t>
                  </w:r>
                </w:p>
              </w:tc>
              <w:tc>
                <w:tcPr>
                  <w:tcW w:w="1160" w:type="dxa"/>
                  <w:tcBorders>
                    <w:top w:val="nil"/>
                    <w:left w:val="nil"/>
                    <w:bottom w:val="nil"/>
                    <w:right w:val="nil"/>
                  </w:tcBorders>
                  <w:shd w:val="clear" w:color="000000" w:fill="FFFFFF"/>
                  <w:noWrap/>
                  <w:vAlign w:val="bottom"/>
                  <w:hideMark/>
                </w:tcPr>
                <w:p w14:paraId="2F26EF2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50,339 </w:t>
                  </w:r>
                </w:p>
              </w:tc>
              <w:tc>
                <w:tcPr>
                  <w:tcW w:w="1132" w:type="dxa"/>
                  <w:tcBorders>
                    <w:top w:val="nil"/>
                    <w:left w:val="nil"/>
                    <w:bottom w:val="nil"/>
                    <w:right w:val="nil"/>
                  </w:tcBorders>
                  <w:shd w:val="clear" w:color="000000" w:fill="FFFFFF"/>
                  <w:noWrap/>
                  <w:vAlign w:val="bottom"/>
                  <w:hideMark/>
                </w:tcPr>
                <w:p w14:paraId="03B0FBB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46,483 </w:t>
                  </w:r>
                </w:p>
              </w:tc>
              <w:tc>
                <w:tcPr>
                  <w:tcW w:w="947" w:type="dxa"/>
                  <w:tcBorders>
                    <w:top w:val="nil"/>
                    <w:left w:val="nil"/>
                    <w:bottom w:val="nil"/>
                    <w:right w:val="nil"/>
                  </w:tcBorders>
                  <w:shd w:val="clear" w:color="000000" w:fill="FFFFFF"/>
                  <w:noWrap/>
                  <w:vAlign w:val="bottom"/>
                  <w:hideMark/>
                </w:tcPr>
                <w:p w14:paraId="37B65C5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19,455 </w:t>
                  </w:r>
                </w:p>
              </w:tc>
              <w:tc>
                <w:tcPr>
                  <w:tcW w:w="1445" w:type="dxa"/>
                  <w:tcBorders>
                    <w:top w:val="nil"/>
                    <w:left w:val="nil"/>
                    <w:bottom w:val="nil"/>
                    <w:right w:val="nil"/>
                  </w:tcBorders>
                  <w:shd w:val="clear" w:color="auto" w:fill="auto"/>
                  <w:noWrap/>
                  <w:vAlign w:val="bottom"/>
                  <w:hideMark/>
                </w:tcPr>
                <w:p w14:paraId="6A00ADBF"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252,902 </w:t>
                  </w:r>
                </w:p>
              </w:tc>
            </w:tr>
            <w:tr w:rsidR="00070AB9" w:rsidRPr="00070AB9" w14:paraId="69EB8295" w14:textId="77777777" w:rsidTr="00671B02">
              <w:trPr>
                <w:trHeight w:val="271"/>
              </w:trPr>
              <w:tc>
                <w:tcPr>
                  <w:tcW w:w="1137" w:type="dxa"/>
                  <w:tcBorders>
                    <w:top w:val="nil"/>
                    <w:left w:val="nil"/>
                    <w:bottom w:val="nil"/>
                    <w:right w:val="nil"/>
                  </w:tcBorders>
                  <w:shd w:val="clear" w:color="000000" w:fill="FFFFFF"/>
                  <w:noWrap/>
                  <w:vAlign w:val="bottom"/>
                  <w:hideMark/>
                </w:tcPr>
                <w:p w14:paraId="7300775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2010</w:t>
                  </w:r>
                </w:p>
              </w:tc>
              <w:tc>
                <w:tcPr>
                  <w:tcW w:w="1160" w:type="dxa"/>
                  <w:tcBorders>
                    <w:top w:val="nil"/>
                    <w:left w:val="nil"/>
                    <w:bottom w:val="nil"/>
                    <w:right w:val="nil"/>
                  </w:tcBorders>
                  <w:shd w:val="clear" w:color="000000" w:fill="FFFFFF"/>
                  <w:noWrap/>
                  <w:vAlign w:val="bottom"/>
                  <w:hideMark/>
                </w:tcPr>
                <w:p w14:paraId="73EEC34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84,531 </w:t>
                  </w:r>
                </w:p>
              </w:tc>
              <w:tc>
                <w:tcPr>
                  <w:tcW w:w="1160" w:type="dxa"/>
                  <w:tcBorders>
                    <w:top w:val="nil"/>
                    <w:left w:val="nil"/>
                    <w:bottom w:val="nil"/>
                    <w:right w:val="nil"/>
                  </w:tcBorders>
                  <w:shd w:val="clear" w:color="000000" w:fill="FFFFFF"/>
                  <w:noWrap/>
                  <w:vAlign w:val="bottom"/>
                  <w:hideMark/>
                </w:tcPr>
                <w:p w14:paraId="29C58AA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48,810 </w:t>
                  </w:r>
                </w:p>
              </w:tc>
              <w:tc>
                <w:tcPr>
                  <w:tcW w:w="1160" w:type="dxa"/>
                  <w:tcBorders>
                    <w:top w:val="nil"/>
                    <w:left w:val="nil"/>
                    <w:bottom w:val="nil"/>
                    <w:right w:val="nil"/>
                  </w:tcBorders>
                  <w:shd w:val="clear" w:color="000000" w:fill="FFFFFF"/>
                  <w:noWrap/>
                  <w:vAlign w:val="bottom"/>
                  <w:hideMark/>
                </w:tcPr>
                <w:p w14:paraId="1A63F94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52,267 </w:t>
                  </w:r>
                </w:p>
              </w:tc>
              <w:tc>
                <w:tcPr>
                  <w:tcW w:w="1132" w:type="dxa"/>
                  <w:tcBorders>
                    <w:top w:val="nil"/>
                    <w:left w:val="nil"/>
                    <w:bottom w:val="nil"/>
                    <w:right w:val="nil"/>
                  </w:tcBorders>
                  <w:shd w:val="clear" w:color="000000" w:fill="FFFFFF"/>
                  <w:noWrap/>
                  <w:vAlign w:val="bottom"/>
                  <w:hideMark/>
                </w:tcPr>
                <w:p w14:paraId="085E50B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46,863 </w:t>
                  </w:r>
                </w:p>
              </w:tc>
              <w:tc>
                <w:tcPr>
                  <w:tcW w:w="947" w:type="dxa"/>
                  <w:tcBorders>
                    <w:top w:val="nil"/>
                    <w:left w:val="nil"/>
                    <w:bottom w:val="nil"/>
                    <w:right w:val="nil"/>
                  </w:tcBorders>
                  <w:shd w:val="clear" w:color="000000" w:fill="FFFFFF"/>
                  <w:noWrap/>
                  <w:vAlign w:val="bottom"/>
                  <w:hideMark/>
                </w:tcPr>
                <w:p w14:paraId="254B3A0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19,635 </w:t>
                  </w:r>
                </w:p>
              </w:tc>
              <w:tc>
                <w:tcPr>
                  <w:tcW w:w="1445" w:type="dxa"/>
                  <w:tcBorders>
                    <w:top w:val="nil"/>
                    <w:left w:val="nil"/>
                    <w:bottom w:val="nil"/>
                    <w:right w:val="nil"/>
                  </w:tcBorders>
                  <w:shd w:val="clear" w:color="auto" w:fill="auto"/>
                  <w:noWrap/>
                  <w:vAlign w:val="bottom"/>
                  <w:hideMark/>
                </w:tcPr>
                <w:p w14:paraId="51FCCA58"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252,106 </w:t>
                  </w:r>
                </w:p>
              </w:tc>
            </w:tr>
            <w:tr w:rsidR="00070AB9" w:rsidRPr="00070AB9" w14:paraId="04E4EFEF" w14:textId="77777777" w:rsidTr="00671B02">
              <w:trPr>
                <w:trHeight w:val="271"/>
              </w:trPr>
              <w:tc>
                <w:tcPr>
                  <w:tcW w:w="1137" w:type="dxa"/>
                  <w:tcBorders>
                    <w:top w:val="nil"/>
                    <w:left w:val="nil"/>
                    <w:bottom w:val="nil"/>
                    <w:right w:val="nil"/>
                  </w:tcBorders>
                  <w:shd w:val="clear" w:color="000000" w:fill="FFFFFF"/>
                  <w:noWrap/>
                  <w:vAlign w:val="bottom"/>
                  <w:hideMark/>
                </w:tcPr>
                <w:p w14:paraId="0AFD8E8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2011</w:t>
                  </w:r>
                </w:p>
              </w:tc>
              <w:tc>
                <w:tcPr>
                  <w:tcW w:w="1160" w:type="dxa"/>
                  <w:tcBorders>
                    <w:top w:val="nil"/>
                    <w:left w:val="nil"/>
                    <w:bottom w:val="nil"/>
                    <w:right w:val="nil"/>
                  </w:tcBorders>
                  <w:shd w:val="clear" w:color="000000" w:fill="FFFFFF"/>
                  <w:noWrap/>
                  <w:vAlign w:val="bottom"/>
                  <w:hideMark/>
                </w:tcPr>
                <w:p w14:paraId="3C52C42A"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86,414 </w:t>
                  </w:r>
                </w:p>
              </w:tc>
              <w:tc>
                <w:tcPr>
                  <w:tcW w:w="1160" w:type="dxa"/>
                  <w:tcBorders>
                    <w:top w:val="nil"/>
                    <w:left w:val="nil"/>
                    <w:bottom w:val="nil"/>
                    <w:right w:val="nil"/>
                  </w:tcBorders>
                  <w:shd w:val="clear" w:color="000000" w:fill="FFFFFF"/>
                  <w:noWrap/>
                  <w:vAlign w:val="bottom"/>
                  <w:hideMark/>
                </w:tcPr>
                <w:p w14:paraId="4E3C4C4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47,428 </w:t>
                  </w:r>
                </w:p>
              </w:tc>
              <w:tc>
                <w:tcPr>
                  <w:tcW w:w="1160" w:type="dxa"/>
                  <w:tcBorders>
                    <w:top w:val="nil"/>
                    <w:left w:val="nil"/>
                    <w:bottom w:val="nil"/>
                    <w:right w:val="nil"/>
                  </w:tcBorders>
                  <w:shd w:val="clear" w:color="000000" w:fill="FFFFFF"/>
                  <w:noWrap/>
                  <w:vAlign w:val="bottom"/>
                  <w:hideMark/>
                </w:tcPr>
                <w:p w14:paraId="7A475BD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53,703 </w:t>
                  </w:r>
                </w:p>
              </w:tc>
              <w:tc>
                <w:tcPr>
                  <w:tcW w:w="1132" w:type="dxa"/>
                  <w:tcBorders>
                    <w:top w:val="nil"/>
                    <w:left w:val="nil"/>
                    <w:bottom w:val="nil"/>
                    <w:right w:val="nil"/>
                  </w:tcBorders>
                  <w:shd w:val="clear" w:color="000000" w:fill="FFFFFF"/>
                  <w:noWrap/>
                  <w:vAlign w:val="bottom"/>
                  <w:hideMark/>
                </w:tcPr>
                <w:p w14:paraId="1E9C3B3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46,076 </w:t>
                  </w:r>
                </w:p>
              </w:tc>
              <w:tc>
                <w:tcPr>
                  <w:tcW w:w="947" w:type="dxa"/>
                  <w:tcBorders>
                    <w:top w:val="nil"/>
                    <w:left w:val="nil"/>
                    <w:bottom w:val="nil"/>
                    <w:right w:val="nil"/>
                  </w:tcBorders>
                  <w:shd w:val="clear" w:color="000000" w:fill="FFFFFF"/>
                  <w:noWrap/>
                  <w:vAlign w:val="bottom"/>
                  <w:hideMark/>
                </w:tcPr>
                <w:p w14:paraId="6A97EE9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19,072 </w:t>
                  </w:r>
                </w:p>
              </w:tc>
              <w:tc>
                <w:tcPr>
                  <w:tcW w:w="1445" w:type="dxa"/>
                  <w:tcBorders>
                    <w:top w:val="nil"/>
                    <w:left w:val="nil"/>
                    <w:bottom w:val="nil"/>
                    <w:right w:val="nil"/>
                  </w:tcBorders>
                  <w:shd w:val="clear" w:color="auto" w:fill="auto"/>
                  <w:noWrap/>
                  <w:vAlign w:val="bottom"/>
                  <w:hideMark/>
                </w:tcPr>
                <w:p w14:paraId="61A7FEC0"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252,693 </w:t>
                  </w:r>
                </w:p>
              </w:tc>
            </w:tr>
            <w:tr w:rsidR="00070AB9" w:rsidRPr="00070AB9" w14:paraId="6049707D" w14:textId="77777777" w:rsidTr="00671B02">
              <w:trPr>
                <w:trHeight w:val="271"/>
              </w:trPr>
              <w:tc>
                <w:tcPr>
                  <w:tcW w:w="1137" w:type="dxa"/>
                  <w:tcBorders>
                    <w:top w:val="nil"/>
                    <w:left w:val="nil"/>
                    <w:bottom w:val="nil"/>
                    <w:right w:val="nil"/>
                  </w:tcBorders>
                  <w:shd w:val="clear" w:color="000000" w:fill="FFFFFF"/>
                  <w:noWrap/>
                  <w:vAlign w:val="bottom"/>
                  <w:hideMark/>
                </w:tcPr>
                <w:p w14:paraId="5DD551A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2012</w:t>
                  </w:r>
                </w:p>
              </w:tc>
              <w:tc>
                <w:tcPr>
                  <w:tcW w:w="1160" w:type="dxa"/>
                  <w:tcBorders>
                    <w:top w:val="nil"/>
                    <w:left w:val="nil"/>
                    <w:bottom w:val="nil"/>
                    <w:right w:val="nil"/>
                  </w:tcBorders>
                  <w:shd w:val="clear" w:color="000000" w:fill="FFFFFF"/>
                  <w:noWrap/>
                  <w:vAlign w:val="bottom"/>
                  <w:hideMark/>
                </w:tcPr>
                <w:p w14:paraId="5BAB605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85,399 </w:t>
                  </w:r>
                </w:p>
              </w:tc>
              <w:tc>
                <w:tcPr>
                  <w:tcW w:w="1160" w:type="dxa"/>
                  <w:tcBorders>
                    <w:top w:val="nil"/>
                    <w:left w:val="nil"/>
                    <w:bottom w:val="nil"/>
                    <w:right w:val="nil"/>
                  </w:tcBorders>
                  <w:shd w:val="clear" w:color="000000" w:fill="FFFFFF"/>
                  <w:noWrap/>
                  <w:vAlign w:val="bottom"/>
                  <w:hideMark/>
                </w:tcPr>
                <w:p w14:paraId="589BEB8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45,831 </w:t>
                  </w:r>
                </w:p>
              </w:tc>
              <w:tc>
                <w:tcPr>
                  <w:tcW w:w="1160" w:type="dxa"/>
                  <w:tcBorders>
                    <w:top w:val="nil"/>
                    <w:left w:val="nil"/>
                    <w:bottom w:val="nil"/>
                    <w:right w:val="nil"/>
                  </w:tcBorders>
                  <w:shd w:val="clear" w:color="000000" w:fill="FFFFFF"/>
                  <w:noWrap/>
                  <w:vAlign w:val="bottom"/>
                  <w:hideMark/>
                </w:tcPr>
                <w:p w14:paraId="70A798E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54,888 </w:t>
                  </w:r>
                </w:p>
              </w:tc>
              <w:tc>
                <w:tcPr>
                  <w:tcW w:w="1132" w:type="dxa"/>
                  <w:tcBorders>
                    <w:top w:val="nil"/>
                    <w:left w:val="nil"/>
                    <w:bottom w:val="nil"/>
                    <w:right w:val="nil"/>
                  </w:tcBorders>
                  <w:shd w:val="clear" w:color="000000" w:fill="FFFFFF"/>
                  <w:noWrap/>
                  <w:vAlign w:val="bottom"/>
                  <w:hideMark/>
                </w:tcPr>
                <w:p w14:paraId="68A176E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45,617 </w:t>
                  </w:r>
                </w:p>
              </w:tc>
              <w:tc>
                <w:tcPr>
                  <w:tcW w:w="947" w:type="dxa"/>
                  <w:tcBorders>
                    <w:top w:val="nil"/>
                    <w:left w:val="nil"/>
                    <w:bottom w:val="nil"/>
                    <w:right w:val="nil"/>
                  </w:tcBorders>
                  <w:shd w:val="clear" w:color="000000" w:fill="FFFFFF"/>
                  <w:noWrap/>
                  <w:vAlign w:val="bottom"/>
                  <w:hideMark/>
                </w:tcPr>
                <w:p w14:paraId="155AB94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20,374 </w:t>
                  </w:r>
                </w:p>
              </w:tc>
              <w:tc>
                <w:tcPr>
                  <w:tcW w:w="1445" w:type="dxa"/>
                  <w:tcBorders>
                    <w:top w:val="nil"/>
                    <w:left w:val="nil"/>
                    <w:bottom w:val="nil"/>
                    <w:right w:val="nil"/>
                  </w:tcBorders>
                  <w:shd w:val="clear" w:color="auto" w:fill="auto"/>
                  <w:noWrap/>
                  <w:vAlign w:val="bottom"/>
                  <w:hideMark/>
                </w:tcPr>
                <w:p w14:paraId="5483D32E"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252,109 </w:t>
                  </w:r>
                </w:p>
              </w:tc>
            </w:tr>
            <w:tr w:rsidR="00070AB9" w:rsidRPr="00070AB9" w14:paraId="7848EB7D" w14:textId="77777777" w:rsidTr="00671B02">
              <w:trPr>
                <w:trHeight w:val="271"/>
              </w:trPr>
              <w:tc>
                <w:tcPr>
                  <w:tcW w:w="1137" w:type="dxa"/>
                  <w:tcBorders>
                    <w:top w:val="nil"/>
                    <w:left w:val="nil"/>
                    <w:bottom w:val="nil"/>
                    <w:right w:val="nil"/>
                  </w:tcBorders>
                  <w:shd w:val="clear" w:color="000000" w:fill="FFFFFF"/>
                  <w:noWrap/>
                  <w:vAlign w:val="bottom"/>
                  <w:hideMark/>
                </w:tcPr>
                <w:p w14:paraId="7C6D510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2013</w:t>
                  </w:r>
                </w:p>
              </w:tc>
              <w:tc>
                <w:tcPr>
                  <w:tcW w:w="1160" w:type="dxa"/>
                  <w:tcBorders>
                    <w:top w:val="nil"/>
                    <w:left w:val="nil"/>
                    <w:bottom w:val="nil"/>
                    <w:right w:val="nil"/>
                  </w:tcBorders>
                  <w:shd w:val="clear" w:color="000000" w:fill="FFFFFF"/>
                  <w:noWrap/>
                  <w:vAlign w:val="bottom"/>
                  <w:hideMark/>
                </w:tcPr>
                <w:p w14:paraId="08C9C59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87,165 </w:t>
                  </w:r>
                </w:p>
              </w:tc>
              <w:tc>
                <w:tcPr>
                  <w:tcW w:w="1160" w:type="dxa"/>
                  <w:tcBorders>
                    <w:top w:val="nil"/>
                    <w:left w:val="nil"/>
                    <w:bottom w:val="nil"/>
                    <w:right w:val="nil"/>
                  </w:tcBorders>
                  <w:shd w:val="clear" w:color="000000" w:fill="FFFFFF"/>
                  <w:noWrap/>
                  <w:vAlign w:val="bottom"/>
                  <w:hideMark/>
                </w:tcPr>
                <w:p w14:paraId="3FAF1D0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45,911 </w:t>
                  </w:r>
                </w:p>
              </w:tc>
              <w:tc>
                <w:tcPr>
                  <w:tcW w:w="1160" w:type="dxa"/>
                  <w:tcBorders>
                    <w:top w:val="nil"/>
                    <w:left w:val="nil"/>
                    <w:bottom w:val="nil"/>
                    <w:right w:val="nil"/>
                  </w:tcBorders>
                  <w:shd w:val="clear" w:color="000000" w:fill="FFFFFF"/>
                  <w:noWrap/>
                  <w:vAlign w:val="bottom"/>
                  <w:hideMark/>
                </w:tcPr>
                <w:p w14:paraId="3BF9A58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58,729 </w:t>
                  </w:r>
                </w:p>
              </w:tc>
              <w:tc>
                <w:tcPr>
                  <w:tcW w:w="1132" w:type="dxa"/>
                  <w:tcBorders>
                    <w:top w:val="nil"/>
                    <w:left w:val="nil"/>
                    <w:bottom w:val="nil"/>
                    <w:right w:val="nil"/>
                  </w:tcBorders>
                  <w:shd w:val="clear" w:color="000000" w:fill="FFFFFF"/>
                  <w:noWrap/>
                  <w:vAlign w:val="bottom"/>
                  <w:hideMark/>
                </w:tcPr>
                <w:p w14:paraId="735116C5"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46,137 </w:t>
                  </w:r>
                </w:p>
              </w:tc>
              <w:tc>
                <w:tcPr>
                  <w:tcW w:w="947" w:type="dxa"/>
                  <w:tcBorders>
                    <w:top w:val="nil"/>
                    <w:left w:val="nil"/>
                    <w:bottom w:val="nil"/>
                    <w:right w:val="nil"/>
                  </w:tcBorders>
                  <w:shd w:val="clear" w:color="000000" w:fill="FFFFFF"/>
                  <w:noWrap/>
                  <w:vAlign w:val="bottom"/>
                  <w:hideMark/>
                </w:tcPr>
                <w:p w14:paraId="08E369C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20,332 </w:t>
                  </w:r>
                </w:p>
              </w:tc>
              <w:tc>
                <w:tcPr>
                  <w:tcW w:w="1445" w:type="dxa"/>
                  <w:tcBorders>
                    <w:top w:val="nil"/>
                    <w:left w:val="nil"/>
                    <w:bottom w:val="nil"/>
                    <w:right w:val="nil"/>
                  </w:tcBorders>
                  <w:shd w:val="clear" w:color="auto" w:fill="auto"/>
                  <w:noWrap/>
                  <w:vAlign w:val="bottom"/>
                  <w:hideMark/>
                </w:tcPr>
                <w:p w14:paraId="175D7B1E"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258,274 </w:t>
                  </w:r>
                </w:p>
              </w:tc>
            </w:tr>
            <w:tr w:rsidR="00070AB9" w:rsidRPr="00070AB9" w14:paraId="3D0B2450" w14:textId="77777777" w:rsidTr="00671B02">
              <w:trPr>
                <w:trHeight w:val="271"/>
              </w:trPr>
              <w:tc>
                <w:tcPr>
                  <w:tcW w:w="1137" w:type="dxa"/>
                  <w:tcBorders>
                    <w:top w:val="nil"/>
                    <w:left w:val="nil"/>
                    <w:bottom w:val="nil"/>
                    <w:right w:val="nil"/>
                  </w:tcBorders>
                  <w:shd w:val="clear" w:color="000000" w:fill="FFFFFF"/>
                  <w:noWrap/>
                  <w:vAlign w:val="bottom"/>
                  <w:hideMark/>
                </w:tcPr>
                <w:p w14:paraId="207F001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2014</w:t>
                  </w:r>
                </w:p>
              </w:tc>
              <w:tc>
                <w:tcPr>
                  <w:tcW w:w="1160" w:type="dxa"/>
                  <w:tcBorders>
                    <w:top w:val="nil"/>
                    <w:left w:val="nil"/>
                    <w:bottom w:val="nil"/>
                    <w:right w:val="nil"/>
                  </w:tcBorders>
                  <w:shd w:val="clear" w:color="000000" w:fill="FFFFFF"/>
                  <w:noWrap/>
                  <w:vAlign w:val="bottom"/>
                  <w:hideMark/>
                </w:tcPr>
                <w:p w14:paraId="4333389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89,845 </w:t>
                  </w:r>
                </w:p>
              </w:tc>
              <w:tc>
                <w:tcPr>
                  <w:tcW w:w="1160" w:type="dxa"/>
                  <w:tcBorders>
                    <w:top w:val="nil"/>
                    <w:left w:val="nil"/>
                    <w:bottom w:val="nil"/>
                    <w:right w:val="nil"/>
                  </w:tcBorders>
                  <w:shd w:val="clear" w:color="000000" w:fill="FFFFFF"/>
                  <w:noWrap/>
                  <w:vAlign w:val="bottom"/>
                  <w:hideMark/>
                </w:tcPr>
                <w:p w14:paraId="1F0DCDB9"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44,232 </w:t>
                  </w:r>
                </w:p>
              </w:tc>
              <w:tc>
                <w:tcPr>
                  <w:tcW w:w="1160" w:type="dxa"/>
                  <w:tcBorders>
                    <w:top w:val="nil"/>
                    <w:left w:val="nil"/>
                    <w:bottom w:val="nil"/>
                    <w:right w:val="nil"/>
                  </w:tcBorders>
                  <w:shd w:val="clear" w:color="000000" w:fill="FFFFFF"/>
                  <w:noWrap/>
                  <w:vAlign w:val="bottom"/>
                  <w:hideMark/>
                </w:tcPr>
                <w:p w14:paraId="6F99EAC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59,914 </w:t>
                  </w:r>
                </w:p>
              </w:tc>
              <w:tc>
                <w:tcPr>
                  <w:tcW w:w="1132" w:type="dxa"/>
                  <w:tcBorders>
                    <w:top w:val="nil"/>
                    <w:left w:val="nil"/>
                    <w:bottom w:val="nil"/>
                    <w:right w:val="nil"/>
                  </w:tcBorders>
                  <w:shd w:val="clear" w:color="000000" w:fill="FFFFFF"/>
                  <w:noWrap/>
                  <w:vAlign w:val="bottom"/>
                  <w:hideMark/>
                </w:tcPr>
                <w:p w14:paraId="7ED0B37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47,724 </w:t>
                  </w:r>
                </w:p>
              </w:tc>
              <w:tc>
                <w:tcPr>
                  <w:tcW w:w="947" w:type="dxa"/>
                  <w:tcBorders>
                    <w:top w:val="nil"/>
                    <w:left w:val="nil"/>
                    <w:bottom w:val="nil"/>
                    <w:right w:val="nil"/>
                  </w:tcBorders>
                  <w:shd w:val="clear" w:color="000000" w:fill="FFFFFF"/>
                  <w:noWrap/>
                  <w:vAlign w:val="bottom"/>
                  <w:hideMark/>
                </w:tcPr>
                <w:p w14:paraId="278136F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22,916 </w:t>
                  </w:r>
                </w:p>
              </w:tc>
              <w:tc>
                <w:tcPr>
                  <w:tcW w:w="1445" w:type="dxa"/>
                  <w:tcBorders>
                    <w:top w:val="nil"/>
                    <w:left w:val="nil"/>
                    <w:bottom w:val="nil"/>
                    <w:right w:val="nil"/>
                  </w:tcBorders>
                  <w:shd w:val="clear" w:color="auto" w:fill="auto"/>
                  <w:noWrap/>
                  <w:vAlign w:val="bottom"/>
                  <w:hideMark/>
                </w:tcPr>
                <w:p w14:paraId="23277DA0"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264,631 </w:t>
                  </w:r>
                </w:p>
              </w:tc>
            </w:tr>
            <w:tr w:rsidR="00070AB9" w:rsidRPr="00070AB9" w14:paraId="19083048" w14:textId="77777777" w:rsidTr="00671B02">
              <w:trPr>
                <w:trHeight w:val="271"/>
              </w:trPr>
              <w:tc>
                <w:tcPr>
                  <w:tcW w:w="1137" w:type="dxa"/>
                  <w:tcBorders>
                    <w:top w:val="nil"/>
                    <w:left w:val="nil"/>
                    <w:bottom w:val="nil"/>
                    <w:right w:val="nil"/>
                  </w:tcBorders>
                  <w:shd w:val="clear" w:color="000000" w:fill="FFFFFF"/>
                  <w:noWrap/>
                  <w:vAlign w:val="bottom"/>
                  <w:hideMark/>
                </w:tcPr>
                <w:p w14:paraId="6F7CEBF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2015</w:t>
                  </w:r>
                </w:p>
              </w:tc>
              <w:tc>
                <w:tcPr>
                  <w:tcW w:w="1160" w:type="dxa"/>
                  <w:tcBorders>
                    <w:top w:val="nil"/>
                    <w:left w:val="nil"/>
                    <w:bottom w:val="nil"/>
                    <w:right w:val="nil"/>
                  </w:tcBorders>
                  <w:shd w:val="clear" w:color="000000" w:fill="FFFFFF"/>
                  <w:noWrap/>
                  <w:vAlign w:val="bottom"/>
                  <w:hideMark/>
                </w:tcPr>
                <w:p w14:paraId="2674AFC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88,948 </w:t>
                  </w:r>
                </w:p>
              </w:tc>
              <w:tc>
                <w:tcPr>
                  <w:tcW w:w="1160" w:type="dxa"/>
                  <w:tcBorders>
                    <w:top w:val="nil"/>
                    <w:left w:val="nil"/>
                    <w:bottom w:val="nil"/>
                    <w:right w:val="nil"/>
                  </w:tcBorders>
                  <w:shd w:val="clear" w:color="000000" w:fill="FFFFFF"/>
                  <w:noWrap/>
                  <w:vAlign w:val="bottom"/>
                  <w:hideMark/>
                </w:tcPr>
                <w:p w14:paraId="658851B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42,392 </w:t>
                  </w:r>
                </w:p>
              </w:tc>
              <w:tc>
                <w:tcPr>
                  <w:tcW w:w="1160" w:type="dxa"/>
                  <w:tcBorders>
                    <w:top w:val="nil"/>
                    <w:left w:val="nil"/>
                    <w:bottom w:val="nil"/>
                    <w:right w:val="nil"/>
                  </w:tcBorders>
                  <w:shd w:val="clear" w:color="000000" w:fill="FFFFFF"/>
                  <w:noWrap/>
                  <w:vAlign w:val="bottom"/>
                  <w:hideMark/>
                </w:tcPr>
                <w:p w14:paraId="39B3ACF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62,597 </w:t>
                  </w:r>
                </w:p>
              </w:tc>
              <w:tc>
                <w:tcPr>
                  <w:tcW w:w="1132" w:type="dxa"/>
                  <w:tcBorders>
                    <w:top w:val="nil"/>
                    <w:left w:val="nil"/>
                    <w:bottom w:val="nil"/>
                    <w:right w:val="nil"/>
                  </w:tcBorders>
                  <w:shd w:val="clear" w:color="000000" w:fill="FFFFFF"/>
                  <w:noWrap/>
                  <w:vAlign w:val="bottom"/>
                  <w:hideMark/>
                </w:tcPr>
                <w:p w14:paraId="3CFECD7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51,625 </w:t>
                  </w:r>
                </w:p>
              </w:tc>
              <w:tc>
                <w:tcPr>
                  <w:tcW w:w="947" w:type="dxa"/>
                  <w:tcBorders>
                    <w:top w:val="nil"/>
                    <w:left w:val="nil"/>
                    <w:bottom w:val="nil"/>
                    <w:right w:val="nil"/>
                  </w:tcBorders>
                  <w:shd w:val="clear" w:color="000000" w:fill="FFFFFF"/>
                  <w:noWrap/>
                  <w:vAlign w:val="bottom"/>
                  <w:hideMark/>
                </w:tcPr>
                <w:p w14:paraId="161CB98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25,333 </w:t>
                  </w:r>
                </w:p>
              </w:tc>
              <w:tc>
                <w:tcPr>
                  <w:tcW w:w="1445" w:type="dxa"/>
                  <w:tcBorders>
                    <w:top w:val="nil"/>
                    <w:left w:val="nil"/>
                    <w:bottom w:val="nil"/>
                    <w:right w:val="nil"/>
                  </w:tcBorders>
                  <w:shd w:val="clear" w:color="auto" w:fill="auto"/>
                  <w:noWrap/>
                  <w:vAlign w:val="bottom"/>
                  <w:hideMark/>
                </w:tcPr>
                <w:p w14:paraId="67072AF7"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270,895 </w:t>
                  </w:r>
                </w:p>
              </w:tc>
            </w:tr>
            <w:tr w:rsidR="00070AB9" w:rsidRPr="00070AB9" w14:paraId="6E18D387" w14:textId="77777777" w:rsidTr="00671B02">
              <w:trPr>
                <w:trHeight w:val="271"/>
              </w:trPr>
              <w:tc>
                <w:tcPr>
                  <w:tcW w:w="1137" w:type="dxa"/>
                  <w:tcBorders>
                    <w:top w:val="nil"/>
                    <w:left w:val="nil"/>
                    <w:bottom w:val="nil"/>
                    <w:right w:val="nil"/>
                  </w:tcBorders>
                  <w:shd w:val="clear" w:color="000000" w:fill="FFFFFF"/>
                  <w:noWrap/>
                  <w:vAlign w:val="bottom"/>
                  <w:hideMark/>
                </w:tcPr>
                <w:p w14:paraId="6A30F8D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2016</w:t>
                  </w:r>
                </w:p>
              </w:tc>
              <w:tc>
                <w:tcPr>
                  <w:tcW w:w="1160" w:type="dxa"/>
                  <w:tcBorders>
                    <w:top w:val="nil"/>
                    <w:left w:val="nil"/>
                    <w:bottom w:val="nil"/>
                    <w:right w:val="nil"/>
                  </w:tcBorders>
                  <w:shd w:val="clear" w:color="000000" w:fill="FFFFFF"/>
                  <w:noWrap/>
                  <w:vAlign w:val="bottom"/>
                  <w:hideMark/>
                </w:tcPr>
                <w:p w14:paraId="73C85E1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95,238 </w:t>
                  </w:r>
                </w:p>
              </w:tc>
              <w:tc>
                <w:tcPr>
                  <w:tcW w:w="1160" w:type="dxa"/>
                  <w:tcBorders>
                    <w:top w:val="nil"/>
                    <w:left w:val="nil"/>
                    <w:bottom w:val="nil"/>
                    <w:right w:val="nil"/>
                  </w:tcBorders>
                  <w:shd w:val="clear" w:color="000000" w:fill="FFFFFF"/>
                  <w:noWrap/>
                  <w:vAlign w:val="bottom"/>
                  <w:hideMark/>
                </w:tcPr>
                <w:p w14:paraId="68CFC6AB"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40,997 </w:t>
                  </w:r>
                </w:p>
              </w:tc>
              <w:tc>
                <w:tcPr>
                  <w:tcW w:w="1160" w:type="dxa"/>
                  <w:tcBorders>
                    <w:top w:val="nil"/>
                    <w:left w:val="nil"/>
                    <w:bottom w:val="nil"/>
                    <w:right w:val="nil"/>
                  </w:tcBorders>
                  <w:shd w:val="clear" w:color="000000" w:fill="FFFFFF"/>
                  <w:noWrap/>
                  <w:vAlign w:val="bottom"/>
                  <w:hideMark/>
                </w:tcPr>
                <w:p w14:paraId="06056E4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64,769 </w:t>
                  </w:r>
                </w:p>
              </w:tc>
              <w:tc>
                <w:tcPr>
                  <w:tcW w:w="1132" w:type="dxa"/>
                  <w:tcBorders>
                    <w:top w:val="nil"/>
                    <w:left w:val="nil"/>
                    <w:bottom w:val="nil"/>
                    <w:right w:val="nil"/>
                  </w:tcBorders>
                  <w:shd w:val="clear" w:color="000000" w:fill="FFFFFF"/>
                  <w:noWrap/>
                  <w:vAlign w:val="bottom"/>
                  <w:hideMark/>
                </w:tcPr>
                <w:p w14:paraId="19638F2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54,318 </w:t>
                  </w:r>
                </w:p>
              </w:tc>
              <w:tc>
                <w:tcPr>
                  <w:tcW w:w="947" w:type="dxa"/>
                  <w:tcBorders>
                    <w:top w:val="nil"/>
                    <w:left w:val="nil"/>
                    <w:bottom w:val="nil"/>
                    <w:right w:val="nil"/>
                  </w:tcBorders>
                  <w:shd w:val="clear" w:color="000000" w:fill="FFFFFF"/>
                  <w:noWrap/>
                  <w:vAlign w:val="bottom"/>
                  <w:hideMark/>
                </w:tcPr>
                <w:p w14:paraId="1B7889D7"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26,775 </w:t>
                  </w:r>
                </w:p>
              </w:tc>
              <w:tc>
                <w:tcPr>
                  <w:tcW w:w="1445" w:type="dxa"/>
                  <w:tcBorders>
                    <w:top w:val="nil"/>
                    <w:left w:val="nil"/>
                    <w:bottom w:val="nil"/>
                    <w:right w:val="nil"/>
                  </w:tcBorders>
                  <w:shd w:val="clear" w:color="auto" w:fill="auto"/>
                  <w:noWrap/>
                  <w:vAlign w:val="bottom"/>
                  <w:hideMark/>
                </w:tcPr>
                <w:p w14:paraId="7A4CC46F"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282,097 </w:t>
                  </w:r>
                </w:p>
              </w:tc>
            </w:tr>
            <w:tr w:rsidR="00070AB9" w:rsidRPr="00070AB9" w14:paraId="09876CB3" w14:textId="77777777" w:rsidTr="00671B02">
              <w:trPr>
                <w:trHeight w:val="271"/>
              </w:trPr>
              <w:tc>
                <w:tcPr>
                  <w:tcW w:w="1137" w:type="dxa"/>
                  <w:tcBorders>
                    <w:top w:val="nil"/>
                    <w:left w:val="nil"/>
                    <w:bottom w:val="nil"/>
                    <w:right w:val="nil"/>
                  </w:tcBorders>
                  <w:shd w:val="clear" w:color="000000" w:fill="FFFFFF"/>
                  <w:noWrap/>
                  <w:vAlign w:val="bottom"/>
                  <w:hideMark/>
                </w:tcPr>
                <w:p w14:paraId="4977CFF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2017</w:t>
                  </w:r>
                </w:p>
              </w:tc>
              <w:tc>
                <w:tcPr>
                  <w:tcW w:w="1160" w:type="dxa"/>
                  <w:tcBorders>
                    <w:top w:val="nil"/>
                    <w:left w:val="nil"/>
                    <w:bottom w:val="nil"/>
                    <w:right w:val="nil"/>
                  </w:tcBorders>
                  <w:shd w:val="clear" w:color="000000" w:fill="FFFFFF"/>
                  <w:noWrap/>
                  <w:vAlign w:val="bottom"/>
                  <w:hideMark/>
                </w:tcPr>
                <w:p w14:paraId="1471FC31"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98,489 </w:t>
                  </w:r>
                </w:p>
              </w:tc>
              <w:tc>
                <w:tcPr>
                  <w:tcW w:w="1160" w:type="dxa"/>
                  <w:tcBorders>
                    <w:top w:val="nil"/>
                    <w:left w:val="nil"/>
                    <w:bottom w:val="nil"/>
                    <w:right w:val="nil"/>
                  </w:tcBorders>
                  <w:shd w:val="clear" w:color="000000" w:fill="FFFFFF"/>
                  <w:noWrap/>
                  <w:vAlign w:val="bottom"/>
                  <w:hideMark/>
                </w:tcPr>
                <w:p w14:paraId="73E4A5E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40,441 </w:t>
                  </w:r>
                </w:p>
              </w:tc>
              <w:tc>
                <w:tcPr>
                  <w:tcW w:w="1160" w:type="dxa"/>
                  <w:tcBorders>
                    <w:top w:val="nil"/>
                    <w:left w:val="nil"/>
                    <w:bottom w:val="nil"/>
                    <w:right w:val="nil"/>
                  </w:tcBorders>
                  <w:shd w:val="clear" w:color="000000" w:fill="FFFFFF"/>
                  <w:noWrap/>
                  <w:vAlign w:val="bottom"/>
                  <w:hideMark/>
                </w:tcPr>
                <w:p w14:paraId="25BCD740"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65,309 </w:t>
                  </w:r>
                </w:p>
              </w:tc>
              <w:tc>
                <w:tcPr>
                  <w:tcW w:w="1132" w:type="dxa"/>
                  <w:tcBorders>
                    <w:top w:val="nil"/>
                    <w:left w:val="nil"/>
                    <w:bottom w:val="nil"/>
                    <w:right w:val="nil"/>
                  </w:tcBorders>
                  <w:shd w:val="clear" w:color="000000" w:fill="FFFFFF"/>
                  <w:noWrap/>
                  <w:vAlign w:val="bottom"/>
                  <w:hideMark/>
                </w:tcPr>
                <w:p w14:paraId="589A675F"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58,374 </w:t>
                  </w:r>
                </w:p>
              </w:tc>
              <w:tc>
                <w:tcPr>
                  <w:tcW w:w="947" w:type="dxa"/>
                  <w:tcBorders>
                    <w:top w:val="nil"/>
                    <w:left w:val="nil"/>
                    <w:bottom w:val="nil"/>
                    <w:right w:val="nil"/>
                  </w:tcBorders>
                  <w:shd w:val="clear" w:color="000000" w:fill="FFFFFF"/>
                  <w:noWrap/>
                  <w:vAlign w:val="bottom"/>
                  <w:hideMark/>
                </w:tcPr>
                <w:p w14:paraId="367C9F6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28,640 </w:t>
                  </w:r>
                </w:p>
              </w:tc>
              <w:tc>
                <w:tcPr>
                  <w:tcW w:w="1445" w:type="dxa"/>
                  <w:tcBorders>
                    <w:top w:val="nil"/>
                    <w:left w:val="nil"/>
                    <w:bottom w:val="nil"/>
                    <w:right w:val="nil"/>
                  </w:tcBorders>
                  <w:shd w:val="clear" w:color="auto" w:fill="auto"/>
                  <w:noWrap/>
                  <w:vAlign w:val="bottom"/>
                  <w:hideMark/>
                </w:tcPr>
                <w:p w14:paraId="65FBD781"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291,253 </w:t>
                  </w:r>
                </w:p>
              </w:tc>
            </w:tr>
            <w:tr w:rsidR="00070AB9" w:rsidRPr="00070AB9" w14:paraId="75F3D29E" w14:textId="77777777" w:rsidTr="00671B02">
              <w:trPr>
                <w:trHeight w:val="271"/>
              </w:trPr>
              <w:tc>
                <w:tcPr>
                  <w:tcW w:w="1137" w:type="dxa"/>
                  <w:tcBorders>
                    <w:top w:val="nil"/>
                    <w:left w:val="nil"/>
                    <w:bottom w:val="nil"/>
                    <w:right w:val="nil"/>
                  </w:tcBorders>
                  <w:shd w:val="clear" w:color="000000" w:fill="FFFFFF"/>
                  <w:noWrap/>
                  <w:vAlign w:val="bottom"/>
                  <w:hideMark/>
                </w:tcPr>
                <w:p w14:paraId="2B61B3AB"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2018</w:t>
                  </w:r>
                </w:p>
              </w:tc>
              <w:tc>
                <w:tcPr>
                  <w:tcW w:w="1160" w:type="dxa"/>
                  <w:tcBorders>
                    <w:top w:val="nil"/>
                    <w:left w:val="nil"/>
                    <w:bottom w:val="nil"/>
                    <w:right w:val="nil"/>
                  </w:tcBorders>
                  <w:shd w:val="clear" w:color="000000" w:fill="FFFFFF"/>
                  <w:noWrap/>
                  <w:vAlign w:val="bottom"/>
                  <w:hideMark/>
                </w:tcPr>
                <w:p w14:paraId="5E367A24"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100,216 </w:t>
                  </w:r>
                </w:p>
              </w:tc>
              <w:tc>
                <w:tcPr>
                  <w:tcW w:w="1160" w:type="dxa"/>
                  <w:tcBorders>
                    <w:top w:val="nil"/>
                    <w:left w:val="nil"/>
                    <w:bottom w:val="nil"/>
                    <w:right w:val="nil"/>
                  </w:tcBorders>
                  <w:shd w:val="clear" w:color="000000" w:fill="FFFFFF"/>
                  <w:noWrap/>
                  <w:vAlign w:val="bottom"/>
                  <w:hideMark/>
                </w:tcPr>
                <w:p w14:paraId="6AF89ACE"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40,982 </w:t>
                  </w:r>
                </w:p>
              </w:tc>
              <w:tc>
                <w:tcPr>
                  <w:tcW w:w="1160" w:type="dxa"/>
                  <w:tcBorders>
                    <w:top w:val="nil"/>
                    <w:left w:val="nil"/>
                    <w:bottom w:val="nil"/>
                    <w:right w:val="nil"/>
                  </w:tcBorders>
                  <w:shd w:val="clear" w:color="000000" w:fill="FFFFFF"/>
                  <w:noWrap/>
                  <w:vAlign w:val="bottom"/>
                  <w:hideMark/>
                </w:tcPr>
                <w:p w14:paraId="5E57C7F8"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65,460 </w:t>
                  </w:r>
                </w:p>
              </w:tc>
              <w:tc>
                <w:tcPr>
                  <w:tcW w:w="1132" w:type="dxa"/>
                  <w:tcBorders>
                    <w:top w:val="nil"/>
                    <w:left w:val="nil"/>
                    <w:bottom w:val="nil"/>
                    <w:right w:val="nil"/>
                  </w:tcBorders>
                  <w:shd w:val="clear" w:color="000000" w:fill="FFFFFF"/>
                  <w:noWrap/>
                  <w:vAlign w:val="bottom"/>
                  <w:hideMark/>
                </w:tcPr>
                <w:p w14:paraId="689F6E1A"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63,320 </w:t>
                  </w:r>
                </w:p>
              </w:tc>
              <w:tc>
                <w:tcPr>
                  <w:tcW w:w="947" w:type="dxa"/>
                  <w:tcBorders>
                    <w:top w:val="nil"/>
                    <w:left w:val="nil"/>
                    <w:bottom w:val="nil"/>
                    <w:right w:val="nil"/>
                  </w:tcBorders>
                  <w:shd w:val="clear" w:color="000000" w:fill="FFFFFF"/>
                  <w:noWrap/>
                  <w:vAlign w:val="bottom"/>
                  <w:hideMark/>
                </w:tcPr>
                <w:p w14:paraId="474FC2B2"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31,901 </w:t>
                  </w:r>
                </w:p>
              </w:tc>
              <w:tc>
                <w:tcPr>
                  <w:tcW w:w="1445" w:type="dxa"/>
                  <w:tcBorders>
                    <w:top w:val="nil"/>
                    <w:left w:val="nil"/>
                    <w:bottom w:val="nil"/>
                    <w:right w:val="nil"/>
                  </w:tcBorders>
                  <w:shd w:val="clear" w:color="auto" w:fill="auto"/>
                  <w:noWrap/>
                  <w:vAlign w:val="bottom"/>
                  <w:hideMark/>
                </w:tcPr>
                <w:p w14:paraId="59ED0C0A"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301,879 </w:t>
                  </w:r>
                </w:p>
              </w:tc>
            </w:tr>
            <w:tr w:rsidR="00070AB9" w:rsidRPr="00070AB9" w14:paraId="7BBCED2E" w14:textId="77777777" w:rsidTr="00671B02">
              <w:trPr>
                <w:trHeight w:val="282"/>
              </w:trPr>
              <w:tc>
                <w:tcPr>
                  <w:tcW w:w="1137" w:type="dxa"/>
                  <w:tcBorders>
                    <w:top w:val="nil"/>
                    <w:left w:val="nil"/>
                    <w:bottom w:val="single" w:sz="8" w:space="0" w:color="auto"/>
                    <w:right w:val="nil"/>
                  </w:tcBorders>
                  <w:shd w:val="clear" w:color="000000" w:fill="FFFFFF"/>
                  <w:noWrap/>
                  <w:vAlign w:val="bottom"/>
                  <w:hideMark/>
                </w:tcPr>
                <w:p w14:paraId="25E3E25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2019</w:t>
                  </w:r>
                </w:p>
              </w:tc>
              <w:tc>
                <w:tcPr>
                  <w:tcW w:w="1160" w:type="dxa"/>
                  <w:tcBorders>
                    <w:top w:val="nil"/>
                    <w:left w:val="nil"/>
                    <w:bottom w:val="single" w:sz="8" w:space="0" w:color="auto"/>
                    <w:right w:val="nil"/>
                  </w:tcBorders>
                  <w:shd w:val="clear" w:color="000000" w:fill="FFFFFF"/>
                  <w:noWrap/>
                  <w:vAlign w:val="bottom"/>
                  <w:hideMark/>
                </w:tcPr>
                <w:p w14:paraId="326E456C"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100,922 </w:t>
                  </w:r>
                </w:p>
              </w:tc>
              <w:tc>
                <w:tcPr>
                  <w:tcW w:w="1160" w:type="dxa"/>
                  <w:tcBorders>
                    <w:top w:val="nil"/>
                    <w:left w:val="nil"/>
                    <w:bottom w:val="single" w:sz="8" w:space="0" w:color="auto"/>
                    <w:right w:val="nil"/>
                  </w:tcBorders>
                  <w:shd w:val="clear" w:color="000000" w:fill="FFFFFF"/>
                  <w:noWrap/>
                  <w:vAlign w:val="bottom"/>
                  <w:hideMark/>
                </w:tcPr>
                <w:p w14:paraId="4B6A0DB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40,041 </w:t>
                  </w:r>
                </w:p>
              </w:tc>
              <w:tc>
                <w:tcPr>
                  <w:tcW w:w="1160" w:type="dxa"/>
                  <w:tcBorders>
                    <w:top w:val="nil"/>
                    <w:left w:val="nil"/>
                    <w:bottom w:val="single" w:sz="8" w:space="0" w:color="auto"/>
                    <w:right w:val="nil"/>
                  </w:tcBorders>
                  <w:shd w:val="clear" w:color="000000" w:fill="FFFFFF"/>
                  <w:noWrap/>
                  <w:vAlign w:val="bottom"/>
                  <w:hideMark/>
                </w:tcPr>
                <w:p w14:paraId="3E9CD1EA"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70,255 </w:t>
                  </w:r>
                </w:p>
              </w:tc>
              <w:tc>
                <w:tcPr>
                  <w:tcW w:w="1132" w:type="dxa"/>
                  <w:tcBorders>
                    <w:top w:val="nil"/>
                    <w:left w:val="nil"/>
                    <w:bottom w:val="single" w:sz="8" w:space="0" w:color="auto"/>
                    <w:right w:val="nil"/>
                  </w:tcBorders>
                  <w:shd w:val="clear" w:color="000000" w:fill="FFFFFF"/>
                  <w:noWrap/>
                  <w:vAlign w:val="bottom"/>
                  <w:hideMark/>
                </w:tcPr>
                <w:p w14:paraId="212DCCD6"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65,519 </w:t>
                  </w:r>
                </w:p>
              </w:tc>
              <w:tc>
                <w:tcPr>
                  <w:tcW w:w="947" w:type="dxa"/>
                  <w:tcBorders>
                    <w:top w:val="nil"/>
                    <w:left w:val="nil"/>
                    <w:bottom w:val="single" w:sz="8" w:space="0" w:color="auto"/>
                    <w:right w:val="nil"/>
                  </w:tcBorders>
                  <w:shd w:val="clear" w:color="000000" w:fill="FFFFFF"/>
                  <w:noWrap/>
                  <w:vAlign w:val="bottom"/>
                  <w:hideMark/>
                </w:tcPr>
                <w:p w14:paraId="7517E483" w14:textId="77777777" w:rsidR="000D08DA" w:rsidRPr="00070AB9" w:rsidRDefault="000D08DA" w:rsidP="000D08DA">
                  <w:pPr>
                    <w:spacing w:after="0" w:line="240" w:lineRule="auto"/>
                    <w:jc w:val="right"/>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34,290 </w:t>
                  </w:r>
                </w:p>
              </w:tc>
              <w:tc>
                <w:tcPr>
                  <w:tcW w:w="1445" w:type="dxa"/>
                  <w:tcBorders>
                    <w:top w:val="nil"/>
                    <w:left w:val="nil"/>
                    <w:bottom w:val="single" w:sz="8" w:space="0" w:color="auto"/>
                    <w:right w:val="nil"/>
                  </w:tcBorders>
                  <w:shd w:val="clear" w:color="auto" w:fill="auto"/>
                  <w:noWrap/>
                  <w:vAlign w:val="bottom"/>
                  <w:hideMark/>
                </w:tcPr>
                <w:p w14:paraId="30A66D54" w14:textId="77777777" w:rsidR="000D08DA" w:rsidRPr="00070AB9" w:rsidRDefault="000D08DA" w:rsidP="000D08DA">
                  <w:pPr>
                    <w:spacing w:after="0" w:line="240" w:lineRule="auto"/>
                    <w:rPr>
                      <w:rFonts w:ascii="Times New Roman" w:eastAsia="Times New Roman" w:hAnsi="Times New Roman" w:cs="Times New Roman"/>
                      <w:b/>
                      <w:bCs/>
                      <w:color w:val="000000" w:themeColor="text1"/>
                      <w:sz w:val="18"/>
                      <w:szCs w:val="16"/>
                      <w:lang w:eastAsia="en-GB"/>
                    </w:rPr>
                  </w:pPr>
                  <w:r w:rsidRPr="00070AB9">
                    <w:rPr>
                      <w:rFonts w:ascii="Times New Roman" w:eastAsia="Times New Roman" w:hAnsi="Times New Roman" w:cs="Times New Roman"/>
                      <w:b/>
                      <w:bCs/>
                      <w:color w:val="000000" w:themeColor="text1"/>
                      <w:sz w:val="18"/>
                      <w:szCs w:val="16"/>
                      <w:lang w:eastAsia="en-GB"/>
                    </w:rPr>
                    <w:t xml:space="preserve">           311,027 </w:t>
                  </w:r>
                </w:p>
              </w:tc>
            </w:tr>
          </w:tbl>
          <w:p w14:paraId="1ED3DA52" w14:textId="77777777" w:rsidR="000D08DA" w:rsidRPr="00070AB9" w:rsidRDefault="000D08DA" w:rsidP="00310550">
            <w:pPr>
              <w:pStyle w:val="OBEBody"/>
              <w:rPr>
                <w:rFonts w:ascii="Times New Roman" w:eastAsia="Calibri" w:hAnsi="Times New Roman" w:cs="Times New Roman"/>
                <w:b/>
                <w:bCs/>
                <w:color w:val="000000" w:themeColor="text1"/>
                <w:kern w:val="2"/>
                <w:shd w:val="clear" w:color="auto" w:fill="FFFFFF"/>
              </w:rPr>
            </w:pPr>
          </w:p>
        </w:tc>
      </w:tr>
      <w:tr w:rsidR="00125713" w:rsidRPr="00070AB9" w14:paraId="019E6E80" w14:textId="77777777" w:rsidTr="00125713">
        <w:tc>
          <w:tcPr>
            <w:tcW w:w="9016" w:type="dxa"/>
          </w:tcPr>
          <w:p w14:paraId="36F21F10" w14:textId="2E6481CD" w:rsidR="00125713" w:rsidRPr="00070AB9" w:rsidRDefault="000D08DA" w:rsidP="000D08DA">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z w:val="22"/>
                <w:shd w:val="clear" w:color="auto" w:fill="FFFFFF"/>
              </w:rPr>
              <w:t>Note: Miscellaneous category includes “Electrical appliances for personal care”, “Other appliances, articles and products for personal care”, and “Jewellery clocks and watches”.</w:t>
            </w:r>
          </w:p>
        </w:tc>
      </w:tr>
    </w:tbl>
    <w:p w14:paraId="1FC0E491" w14:textId="77777777" w:rsidR="000C4314" w:rsidRPr="00070AB9" w:rsidRDefault="000C4314" w:rsidP="00310550">
      <w:pPr>
        <w:pStyle w:val="OBEBody"/>
        <w:rPr>
          <w:rFonts w:ascii="Times New Roman" w:eastAsia="Calibri" w:hAnsi="Times New Roman" w:cs="Times New Roman"/>
          <w:b/>
          <w:bCs/>
          <w:color w:val="000000" w:themeColor="text1"/>
          <w:kern w:val="2"/>
          <w:shd w:val="clear" w:color="auto" w:fill="FFFFFF"/>
        </w:rPr>
      </w:pPr>
    </w:p>
    <w:p w14:paraId="4938E3F2" w14:textId="50755A63" w:rsidR="0044680C" w:rsidRPr="00070AB9" w:rsidRDefault="008A223A" w:rsidP="00E30C75">
      <w:pPr>
        <w:pStyle w:val="OBEBody"/>
        <w:rPr>
          <w:rFonts w:ascii="Times New Roman" w:eastAsia="Calibri" w:hAnsi="Times New Roman" w:cs="Times New Roman"/>
          <w:color w:val="000000" w:themeColor="text1"/>
          <w:shd w:val="clear" w:color="auto" w:fill="FFFFFF"/>
        </w:rPr>
      </w:pPr>
      <w:r w:rsidRPr="00070AB9">
        <w:rPr>
          <w:rFonts w:ascii="Times New Roman" w:eastAsia="Calibri" w:hAnsi="Times New Roman" w:cs="Times New Roman"/>
          <w:color w:val="000000" w:themeColor="text1"/>
          <w:shd w:val="clear" w:color="auto" w:fill="FFFFFF"/>
        </w:rPr>
        <w:t xml:space="preserve">It is seen that the largest consumer goods category is </w:t>
      </w:r>
      <w:r w:rsidR="000D08DA" w:rsidRPr="00070AB9">
        <w:rPr>
          <w:rFonts w:ascii="Times New Roman" w:eastAsia="Calibri" w:hAnsi="Times New Roman" w:cs="Times New Roman"/>
          <w:color w:val="000000" w:themeColor="text1"/>
          <w:shd w:val="clear" w:color="auto" w:fill="FFFFFF"/>
        </w:rPr>
        <w:t xml:space="preserve">the </w:t>
      </w:r>
      <w:r w:rsidRPr="00070AB9">
        <w:rPr>
          <w:rFonts w:ascii="Times New Roman" w:eastAsia="Calibri" w:hAnsi="Times New Roman" w:cs="Times New Roman"/>
          <w:color w:val="000000" w:themeColor="text1"/>
          <w:shd w:val="clear" w:color="auto" w:fill="FFFFFF"/>
        </w:rPr>
        <w:t>food and drink sector. T</w:t>
      </w:r>
      <w:r w:rsidR="000D08DA" w:rsidRPr="00070AB9">
        <w:rPr>
          <w:rFonts w:ascii="Times New Roman" w:eastAsia="Calibri" w:hAnsi="Times New Roman" w:cs="Times New Roman"/>
          <w:color w:val="000000" w:themeColor="text1"/>
          <w:shd w:val="clear" w:color="auto" w:fill="FFFFFF"/>
        </w:rPr>
        <w:t>he size of this sector was £82 billion in 1997</w:t>
      </w:r>
      <w:r w:rsidR="001D18D6" w:rsidRPr="00070AB9">
        <w:rPr>
          <w:rFonts w:ascii="Times New Roman" w:eastAsia="Calibri" w:hAnsi="Times New Roman" w:cs="Times New Roman"/>
          <w:color w:val="000000" w:themeColor="text1"/>
          <w:shd w:val="clear" w:color="auto" w:fill="FFFFFF"/>
        </w:rPr>
        <w:t>,</w:t>
      </w:r>
      <w:r w:rsidR="000D08DA" w:rsidRPr="00070AB9">
        <w:rPr>
          <w:rFonts w:ascii="Times New Roman" w:eastAsia="Calibri" w:hAnsi="Times New Roman" w:cs="Times New Roman"/>
          <w:color w:val="000000" w:themeColor="text1"/>
          <w:shd w:val="clear" w:color="auto" w:fill="FFFFFF"/>
        </w:rPr>
        <w:t xml:space="preserve"> and it increased by around 25% in real terms to £101 billion in 2019. </w:t>
      </w:r>
      <w:r w:rsidR="001D18D6" w:rsidRPr="00070AB9">
        <w:rPr>
          <w:rFonts w:ascii="Times New Roman" w:eastAsia="Calibri" w:hAnsi="Times New Roman" w:cs="Times New Roman"/>
          <w:color w:val="000000" w:themeColor="text1"/>
          <w:shd w:val="clear" w:color="auto" w:fill="FFFFFF"/>
        </w:rPr>
        <w:t xml:space="preserve">The third-largest sector, as of 2019 is the clothing and footwear sector. The size of this sector was £15 billion in 1997, and it increased by 370% to £70 billion in 2019. </w:t>
      </w:r>
      <w:r w:rsidR="003763D6" w:rsidRPr="00070AB9">
        <w:rPr>
          <w:rFonts w:ascii="Times New Roman" w:eastAsia="Calibri" w:hAnsi="Times New Roman" w:cs="Times New Roman"/>
          <w:color w:val="000000" w:themeColor="text1"/>
          <w:shd w:val="clear" w:color="auto" w:fill="FFFFFF"/>
        </w:rPr>
        <w:t>This is an astonishing growt</w:t>
      </w:r>
      <w:r w:rsidR="00C82F1E" w:rsidRPr="00070AB9">
        <w:rPr>
          <w:rFonts w:ascii="Times New Roman" w:eastAsia="Calibri" w:hAnsi="Times New Roman" w:cs="Times New Roman"/>
          <w:color w:val="000000" w:themeColor="text1"/>
          <w:shd w:val="clear" w:color="auto" w:fill="FFFFFF"/>
        </w:rPr>
        <w:t>h</w:t>
      </w:r>
      <w:r w:rsidR="003763D6" w:rsidRPr="00070AB9">
        <w:rPr>
          <w:rFonts w:ascii="Times New Roman" w:eastAsia="Calibri" w:hAnsi="Times New Roman" w:cs="Times New Roman"/>
          <w:color w:val="000000" w:themeColor="text1"/>
          <w:shd w:val="clear" w:color="auto" w:fill="FFFFFF"/>
        </w:rPr>
        <w:t xml:space="preserve"> compared to other consumer goods, household expenditures, or GDP gr</w:t>
      </w:r>
      <w:r w:rsidR="00C82F1E" w:rsidRPr="00070AB9">
        <w:rPr>
          <w:rFonts w:ascii="Times New Roman" w:eastAsia="Calibri" w:hAnsi="Times New Roman" w:cs="Times New Roman"/>
          <w:color w:val="000000" w:themeColor="text1"/>
          <w:shd w:val="clear" w:color="auto" w:fill="FFFFFF"/>
        </w:rPr>
        <w:t>owth. T</w:t>
      </w:r>
      <w:r w:rsidR="00C8270F" w:rsidRPr="00070AB9">
        <w:rPr>
          <w:rFonts w:ascii="Times New Roman" w:eastAsia="Calibri" w:hAnsi="Times New Roman" w:cs="Times New Roman"/>
          <w:color w:val="000000" w:themeColor="text1"/>
          <w:shd w:val="clear" w:color="auto" w:fill="FFFFFF"/>
        </w:rPr>
        <w:t>h</w:t>
      </w:r>
      <w:r w:rsidR="001D18D6" w:rsidRPr="00070AB9">
        <w:rPr>
          <w:rFonts w:ascii="Times New Roman" w:eastAsia="Calibri" w:hAnsi="Times New Roman" w:cs="Times New Roman"/>
          <w:color w:val="000000" w:themeColor="text1"/>
          <w:shd w:val="clear" w:color="auto" w:fill="FFFFFF"/>
        </w:rPr>
        <w:t>e third</w:t>
      </w:r>
      <w:r w:rsidR="00C8270F" w:rsidRPr="00070AB9">
        <w:rPr>
          <w:rFonts w:ascii="Times New Roman" w:eastAsia="Calibri" w:hAnsi="Times New Roman" w:cs="Times New Roman"/>
          <w:color w:val="000000" w:themeColor="text1"/>
          <w:shd w:val="clear" w:color="auto" w:fill="FFFFFF"/>
        </w:rPr>
        <w:t xml:space="preserve">-largest category as of 2019 is the furnishings and home equipment. The size of this sector was £37 billion in 1997, and it almost doubled to £66 billion in 2019. </w:t>
      </w:r>
      <w:r w:rsidR="000D08DA" w:rsidRPr="00070AB9">
        <w:rPr>
          <w:rFonts w:ascii="Times New Roman" w:eastAsia="Calibri" w:hAnsi="Times New Roman" w:cs="Times New Roman"/>
          <w:color w:val="000000" w:themeColor="text1"/>
          <w:shd w:val="clear" w:color="auto" w:fill="FFFFFF"/>
        </w:rPr>
        <w:t xml:space="preserve"> </w:t>
      </w:r>
      <w:r w:rsidR="00C82F1E" w:rsidRPr="00070AB9">
        <w:rPr>
          <w:rFonts w:ascii="Times New Roman" w:eastAsia="Calibri" w:hAnsi="Times New Roman" w:cs="Times New Roman"/>
          <w:color w:val="000000" w:themeColor="text1"/>
          <w:shd w:val="clear" w:color="auto" w:fill="FFFFFF"/>
        </w:rPr>
        <w:t xml:space="preserve">The fourth-largest consumer goods sector is alcohol and tobacco. </w:t>
      </w:r>
      <w:r w:rsidR="00D73459" w:rsidRPr="00070AB9">
        <w:rPr>
          <w:rFonts w:ascii="Times New Roman" w:eastAsia="Calibri" w:hAnsi="Times New Roman" w:cs="Times New Roman"/>
          <w:color w:val="000000" w:themeColor="text1"/>
          <w:shd w:val="clear" w:color="auto" w:fill="FFFFFF"/>
        </w:rPr>
        <w:t xml:space="preserve">In contrast to other sectors, this sector decreased from £55 billion in 1997 to £40 billion in 2019. </w:t>
      </w:r>
      <w:r w:rsidR="00F6555C" w:rsidRPr="00070AB9">
        <w:rPr>
          <w:rFonts w:ascii="Times New Roman" w:eastAsia="Calibri" w:hAnsi="Times New Roman" w:cs="Times New Roman"/>
          <w:color w:val="000000" w:themeColor="text1"/>
          <w:shd w:val="clear" w:color="auto" w:fill="FFFFFF"/>
        </w:rPr>
        <w:t xml:space="preserve">Lastly, the miscellaneous consumer goods increased by 158% from £13 billion in 1997 to £34 billion in 2019. </w:t>
      </w:r>
      <w:r w:rsidR="006B116E" w:rsidRPr="00070AB9">
        <w:rPr>
          <w:rFonts w:ascii="Times New Roman" w:eastAsia="Calibri" w:hAnsi="Times New Roman" w:cs="Times New Roman"/>
          <w:color w:val="000000" w:themeColor="text1"/>
          <w:shd w:val="clear" w:color="auto" w:fill="FFFFFF"/>
        </w:rPr>
        <w:t>Overall, the total size of the consumer goods sector increased from £202 billion to £311 billion. So, the increase in consumer goods was 54</w:t>
      </w:r>
      <w:r w:rsidR="00D8706F" w:rsidRPr="00070AB9">
        <w:rPr>
          <w:rFonts w:ascii="Times New Roman" w:eastAsia="Calibri" w:hAnsi="Times New Roman" w:cs="Times New Roman"/>
          <w:color w:val="000000" w:themeColor="text1"/>
          <w:shd w:val="clear" w:color="auto" w:fill="FFFFFF"/>
        </w:rPr>
        <w:t>.14</w:t>
      </w:r>
      <w:r w:rsidR="006B116E" w:rsidRPr="00070AB9">
        <w:rPr>
          <w:rFonts w:ascii="Times New Roman" w:eastAsia="Calibri" w:hAnsi="Times New Roman" w:cs="Times New Roman"/>
          <w:color w:val="000000" w:themeColor="text1"/>
          <w:shd w:val="clear" w:color="auto" w:fill="FFFFFF"/>
        </w:rPr>
        <w:t>% in this period, which is smaller than the increase in the total household consumption expenditures</w:t>
      </w:r>
      <w:r w:rsidR="00D8706F" w:rsidRPr="00070AB9">
        <w:rPr>
          <w:rFonts w:ascii="Times New Roman" w:eastAsia="Calibri" w:hAnsi="Times New Roman" w:cs="Times New Roman"/>
          <w:color w:val="000000" w:themeColor="text1"/>
          <w:shd w:val="clear" w:color="auto" w:fill="FFFFFF"/>
        </w:rPr>
        <w:t>,</w:t>
      </w:r>
      <w:r w:rsidR="006B116E" w:rsidRPr="00070AB9">
        <w:rPr>
          <w:rFonts w:ascii="Times New Roman" w:eastAsia="Calibri" w:hAnsi="Times New Roman" w:cs="Times New Roman"/>
          <w:color w:val="000000" w:themeColor="text1"/>
          <w:shd w:val="clear" w:color="auto" w:fill="FFFFFF"/>
        </w:rPr>
        <w:t xml:space="preserve"> which grew by 64%. However, it was almost identical to the GDP growth rate of </w:t>
      </w:r>
      <w:r w:rsidR="00D8706F" w:rsidRPr="00070AB9">
        <w:rPr>
          <w:rFonts w:ascii="Times New Roman" w:eastAsia="Calibri" w:hAnsi="Times New Roman" w:cs="Times New Roman"/>
          <w:color w:val="000000" w:themeColor="text1"/>
          <w:shd w:val="clear" w:color="auto" w:fill="FFFFFF"/>
        </w:rPr>
        <w:t xml:space="preserve">54.11%. </w:t>
      </w:r>
    </w:p>
    <w:tbl>
      <w:tblPr>
        <w:tblStyle w:val="TableGrid"/>
        <w:tblW w:w="0" w:type="auto"/>
        <w:tblLook w:val="04A0" w:firstRow="1" w:lastRow="0" w:firstColumn="1" w:lastColumn="0" w:noHBand="0" w:noVBand="1"/>
      </w:tblPr>
      <w:tblGrid>
        <w:gridCol w:w="9016"/>
      </w:tblGrid>
      <w:tr w:rsidR="00070AB9" w:rsidRPr="00070AB9" w14:paraId="416773E5" w14:textId="77777777" w:rsidTr="00391501">
        <w:tc>
          <w:tcPr>
            <w:tcW w:w="9016" w:type="dxa"/>
          </w:tcPr>
          <w:p w14:paraId="5EB7849D" w14:textId="014984F6" w:rsidR="00391501" w:rsidRPr="00070AB9" w:rsidRDefault="00391501"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Figure</w:t>
            </w:r>
            <w:r w:rsidR="00BC5FA2" w:rsidRPr="00070AB9">
              <w:rPr>
                <w:rFonts w:ascii="Times New Roman" w:eastAsia="Calibri" w:hAnsi="Times New Roman" w:cs="Times New Roman"/>
                <w:b/>
                <w:bCs/>
                <w:color w:val="000000" w:themeColor="text1"/>
                <w:kern w:val="2"/>
                <w:shd w:val="clear" w:color="auto" w:fill="FFFFFF"/>
              </w:rPr>
              <w:t xml:space="preserve"> 3</w:t>
            </w:r>
            <w:r w:rsidRPr="00070AB9">
              <w:rPr>
                <w:rFonts w:ascii="Times New Roman" w:eastAsia="Calibri" w:hAnsi="Times New Roman" w:cs="Times New Roman"/>
                <w:b/>
                <w:bCs/>
                <w:color w:val="000000" w:themeColor="text1"/>
                <w:kern w:val="2"/>
                <w:shd w:val="clear" w:color="auto" w:fill="FFFFFF"/>
              </w:rPr>
              <w:t xml:space="preserve">: </w:t>
            </w:r>
            <w:r w:rsidR="000E6943" w:rsidRPr="00070AB9">
              <w:rPr>
                <w:rFonts w:ascii="Times New Roman" w:eastAsia="Calibri" w:hAnsi="Times New Roman" w:cs="Times New Roman"/>
                <w:b/>
                <w:bCs/>
                <w:color w:val="000000" w:themeColor="text1"/>
                <w:kern w:val="2"/>
                <w:shd w:val="clear" w:color="auto" w:fill="FFFFFF"/>
              </w:rPr>
              <w:t>Dynamics of Different Consumer Goods Categories in the UK (1997=100)</w:t>
            </w:r>
          </w:p>
        </w:tc>
      </w:tr>
      <w:tr w:rsidR="00391501" w:rsidRPr="00070AB9" w14:paraId="48E34858" w14:textId="77777777" w:rsidTr="00391501">
        <w:tc>
          <w:tcPr>
            <w:tcW w:w="9016" w:type="dxa"/>
          </w:tcPr>
          <w:p w14:paraId="67086A4F" w14:textId="3D3894EB" w:rsidR="00391501" w:rsidRPr="00070AB9" w:rsidRDefault="00391501"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hAnsi="Times New Roman" w:cs="Times New Roman"/>
                <w:b/>
                <w:bCs/>
                <w:noProof/>
                <w:color w:val="000000" w:themeColor="text1"/>
                <w:lang w:eastAsia="en-GB"/>
              </w:rPr>
              <w:drawing>
                <wp:inline distT="0" distB="0" distL="0" distR="0" wp14:anchorId="3EB5CDCB" wp14:editId="6D6C4EA6">
                  <wp:extent cx="5509260" cy="2743200"/>
                  <wp:effectExtent l="0" t="0" r="1524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319CBCB" w14:textId="77777777" w:rsidR="00391501" w:rsidRPr="00070AB9" w:rsidRDefault="00391501" w:rsidP="00310550">
      <w:pPr>
        <w:pStyle w:val="OBEBody"/>
        <w:rPr>
          <w:rFonts w:ascii="Times New Roman" w:eastAsia="Calibri" w:hAnsi="Times New Roman" w:cs="Times New Roman"/>
          <w:b/>
          <w:bCs/>
          <w:color w:val="000000" w:themeColor="text1"/>
          <w:kern w:val="2"/>
          <w:shd w:val="clear" w:color="auto" w:fill="FFFFFF"/>
        </w:rPr>
      </w:pPr>
    </w:p>
    <w:p w14:paraId="592561BE" w14:textId="11ADA1D4" w:rsidR="00E30C75" w:rsidRPr="00070AB9" w:rsidRDefault="00E30C75" w:rsidP="00E30C75">
      <w:pPr>
        <w:pStyle w:val="OBEBody"/>
        <w:rPr>
          <w:rFonts w:ascii="Times New Roman" w:eastAsia="Calibri" w:hAnsi="Times New Roman" w:cs="Times New Roman"/>
          <w:color w:val="000000" w:themeColor="text1"/>
          <w:shd w:val="clear" w:color="auto" w:fill="FFFFFF"/>
        </w:rPr>
      </w:pPr>
      <w:r w:rsidRPr="00070AB9">
        <w:rPr>
          <w:rFonts w:ascii="Times New Roman" w:eastAsia="Calibri" w:hAnsi="Times New Roman" w:cs="Times New Roman"/>
          <w:color w:val="000000" w:themeColor="text1"/>
          <w:shd w:val="clear" w:color="auto" w:fill="FFFFFF"/>
        </w:rPr>
        <w:t xml:space="preserve">The diverging dynamics of the specific consumer goods categories </w:t>
      </w:r>
      <w:r w:rsidR="00635E82" w:rsidRPr="00070AB9">
        <w:rPr>
          <w:rFonts w:ascii="Times New Roman" w:eastAsia="Calibri" w:hAnsi="Times New Roman" w:cs="Times New Roman"/>
          <w:color w:val="000000" w:themeColor="text1"/>
          <w:shd w:val="clear" w:color="auto" w:fill="FFFFFF"/>
        </w:rPr>
        <w:t>are</w:t>
      </w:r>
      <w:r w:rsidRPr="00070AB9">
        <w:rPr>
          <w:rFonts w:ascii="Times New Roman" w:eastAsia="Calibri" w:hAnsi="Times New Roman" w:cs="Times New Roman"/>
          <w:color w:val="000000" w:themeColor="text1"/>
          <w:shd w:val="clear" w:color="auto" w:fill="FFFFFF"/>
        </w:rPr>
        <w:t xml:space="preserve"> shown in Figure 3 as well. The graph takes the initial year of 1997 as 100 for all categories. It is seen that while the </w:t>
      </w:r>
      <w:r w:rsidRPr="00070AB9">
        <w:rPr>
          <w:rFonts w:ascii="Times New Roman" w:eastAsia="Calibri" w:hAnsi="Times New Roman" w:cs="Times New Roman"/>
          <w:color w:val="000000" w:themeColor="text1"/>
          <w:shd w:val="clear" w:color="auto" w:fill="FFFFFF"/>
        </w:rPr>
        <w:lastRenderedPageBreak/>
        <w:t xml:space="preserve">consumption of alcohol and tobacco declined significantly, the other categories displayed </w:t>
      </w:r>
      <w:proofErr w:type="gramStart"/>
      <w:r w:rsidRPr="00070AB9">
        <w:rPr>
          <w:rFonts w:ascii="Times New Roman" w:eastAsia="Calibri" w:hAnsi="Times New Roman" w:cs="Times New Roman"/>
          <w:color w:val="000000" w:themeColor="text1"/>
          <w:shd w:val="clear" w:color="auto" w:fill="FFFFFF"/>
        </w:rPr>
        <w:t>positive growth</w:t>
      </w:r>
      <w:proofErr w:type="gramEnd"/>
      <w:r w:rsidRPr="00070AB9">
        <w:rPr>
          <w:rFonts w:ascii="Times New Roman" w:eastAsia="Calibri" w:hAnsi="Times New Roman" w:cs="Times New Roman"/>
          <w:color w:val="000000" w:themeColor="text1"/>
          <w:shd w:val="clear" w:color="auto" w:fill="FFFFFF"/>
        </w:rPr>
        <w:t xml:space="preserve"> in this period, with the consumption of the clothing and footwear displaying the largest increase. </w:t>
      </w:r>
    </w:p>
    <w:p w14:paraId="2D16236D" w14:textId="4D25EED3" w:rsidR="00E30C75" w:rsidRPr="00070AB9" w:rsidRDefault="00E30C75" w:rsidP="00B911E8">
      <w:pPr>
        <w:pStyle w:val="OBEBody"/>
        <w:rPr>
          <w:rFonts w:ascii="Times New Roman" w:eastAsia="Calibri" w:hAnsi="Times New Roman" w:cs="Times New Roman"/>
          <w:color w:val="000000" w:themeColor="text1"/>
          <w:shd w:val="clear" w:color="auto" w:fill="FFFFFF"/>
        </w:rPr>
      </w:pPr>
      <w:r w:rsidRPr="00070AB9">
        <w:rPr>
          <w:rFonts w:ascii="Times New Roman" w:eastAsia="Calibri" w:hAnsi="Times New Roman" w:cs="Times New Roman"/>
          <w:color w:val="000000" w:themeColor="text1"/>
          <w:shd w:val="clear" w:color="auto" w:fill="FFFFFF"/>
        </w:rPr>
        <w:t>Table 2 presents the summary statistics of the macroeconomic var</w:t>
      </w:r>
      <w:r w:rsidR="006A008F" w:rsidRPr="00070AB9">
        <w:rPr>
          <w:rFonts w:ascii="Times New Roman" w:eastAsia="Calibri" w:hAnsi="Times New Roman" w:cs="Times New Roman"/>
          <w:color w:val="000000" w:themeColor="text1"/>
          <w:shd w:val="clear" w:color="auto" w:fill="FFFFFF"/>
        </w:rPr>
        <w:t>ia</w:t>
      </w:r>
      <w:r w:rsidRPr="00070AB9">
        <w:rPr>
          <w:rFonts w:ascii="Times New Roman" w:eastAsia="Calibri" w:hAnsi="Times New Roman" w:cs="Times New Roman"/>
          <w:color w:val="000000" w:themeColor="text1"/>
          <w:shd w:val="clear" w:color="auto" w:fill="FFFFFF"/>
        </w:rPr>
        <w:t xml:space="preserve">bles used in the quantitative analysis. </w:t>
      </w:r>
      <w:r w:rsidR="006A008F" w:rsidRPr="00070AB9">
        <w:rPr>
          <w:rFonts w:ascii="Times New Roman" w:eastAsia="Calibri" w:hAnsi="Times New Roman" w:cs="Times New Roman"/>
          <w:color w:val="000000" w:themeColor="text1"/>
          <w:shd w:val="clear" w:color="auto" w:fill="FFFFFF"/>
        </w:rPr>
        <w:t>It is seen that the ave</w:t>
      </w:r>
      <w:r w:rsidR="00B911E8" w:rsidRPr="00070AB9">
        <w:rPr>
          <w:rFonts w:ascii="Times New Roman" w:eastAsia="Calibri" w:hAnsi="Times New Roman" w:cs="Times New Roman"/>
          <w:color w:val="000000" w:themeColor="text1"/>
          <w:shd w:val="clear" w:color="auto" w:fill="FFFFFF"/>
        </w:rPr>
        <w:t>rage</w:t>
      </w:r>
      <w:r w:rsidR="006A008F" w:rsidRPr="00070AB9">
        <w:rPr>
          <w:rFonts w:ascii="Times New Roman" w:eastAsia="Calibri" w:hAnsi="Times New Roman" w:cs="Times New Roman"/>
          <w:color w:val="000000" w:themeColor="text1"/>
          <w:shd w:val="clear" w:color="auto" w:fill="FFFFFF"/>
        </w:rPr>
        <w:t xml:space="preserve"> annual growth rate of </w:t>
      </w:r>
      <w:r w:rsidR="00B911E8" w:rsidRPr="00070AB9">
        <w:rPr>
          <w:rFonts w:ascii="Times New Roman" w:eastAsia="Calibri" w:hAnsi="Times New Roman" w:cs="Times New Roman"/>
          <w:color w:val="000000" w:themeColor="text1"/>
          <w:shd w:val="clear" w:color="auto" w:fill="FFFFFF"/>
        </w:rPr>
        <w:t xml:space="preserve">the </w:t>
      </w:r>
      <w:r w:rsidR="006A008F" w:rsidRPr="00070AB9">
        <w:rPr>
          <w:rFonts w:ascii="Times New Roman" w:eastAsia="Calibri" w:hAnsi="Times New Roman" w:cs="Times New Roman"/>
          <w:color w:val="000000" w:themeColor="text1"/>
          <w:shd w:val="clear" w:color="auto" w:fill="FFFFFF"/>
        </w:rPr>
        <w:t>clothing and footwear sector was 7.4%</w:t>
      </w:r>
      <w:r w:rsidR="00B911E8" w:rsidRPr="00070AB9">
        <w:rPr>
          <w:rFonts w:ascii="Times New Roman" w:eastAsia="Calibri" w:hAnsi="Times New Roman" w:cs="Times New Roman"/>
          <w:color w:val="000000" w:themeColor="text1"/>
          <w:shd w:val="clear" w:color="auto" w:fill="FFFFFF"/>
        </w:rPr>
        <w:t>, followed by 4.5% growth in the m</w:t>
      </w:r>
      <w:r w:rsidR="00B911E8" w:rsidRPr="00070AB9">
        <w:rPr>
          <w:rFonts w:ascii="Times New Roman" w:eastAsia="Times New Roman" w:hAnsi="Times New Roman" w:cs="Times New Roman"/>
          <w:color w:val="000000" w:themeColor="text1"/>
          <w:lang w:eastAsia="en-GB"/>
        </w:rPr>
        <w:t xml:space="preserve">iscellaneous category and 2.7% in the furnishings category. The food and drink sector displayed a lower than average growth with 1% annual increase, and the alcohol and tobacco category displayed annual decline rates of -1.4%. </w:t>
      </w:r>
      <w:r w:rsidR="007620B6" w:rsidRPr="00070AB9">
        <w:rPr>
          <w:rFonts w:ascii="Times New Roman" w:eastAsia="Times New Roman" w:hAnsi="Times New Roman" w:cs="Times New Roman"/>
          <w:color w:val="000000" w:themeColor="text1"/>
          <w:lang w:eastAsia="en-GB"/>
        </w:rPr>
        <w:t>In this period, the total consumer goods sector registered an average annual growth rate of 2%, whic</w:t>
      </w:r>
      <w:r w:rsidR="00254948" w:rsidRPr="00070AB9">
        <w:rPr>
          <w:rFonts w:ascii="Times New Roman" w:eastAsia="Times New Roman" w:hAnsi="Times New Roman" w:cs="Times New Roman"/>
          <w:color w:val="000000" w:themeColor="text1"/>
          <w:lang w:eastAsia="en-GB"/>
        </w:rPr>
        <w:t>h</w:t>
      </w:r>
      <w:r w:rsidR="007620B6" w:rsidRPr="00070AB9">
        <w:rPr>
          <w:rFonts w:ascii="Times New Roman" w:eastAsia="Times New Roman" w:hAnsi="Times New Roman" w:cs="Times New Roman"/>
          <w:color w:val="000000" w:themeColor="text1"/>
          <w:lang w:eastAsia="en-GB"/>
        </w:rPr>
        <w:t xml:space="preserve"> was the same as the GDP growth rate, but lower than the</w:t>
      </w:r>
      <w:r w:rsidR="00254948" w:rsidRPr="00070AB9">
        <w:rPr>
          <w:rFonts w:ascii="Times New Roman" w:eastAsia="Times New Roman" w:hAnsi="Times New Roman" w:cs="Times New Roman"/>
          <w:color w:val="000000" w:themeColor="text1"/>
          <w:lang w:eastAsia="en-GB"/>
        </w:rPr>
        <w:t xml:space="preserve"> growth rate of total household expenditures. </w:t>
      </w:r>
      <w:r w:rsidR="007620B6" w:rsidRPr="00070AB9">
        <w:rPr>
          <w:rFonts w:ascii="Times New Roman" w:eastAsia="Times New Roman" w:hAnsi="Times New Roman" w:cs="Times New Roman"/>
          <w:color w:val="000000" w:themeColor="text1"/>
          <w:lang w:eastAsia="en-GB"/>
        </w:rPr>
        <w:t xml:space="preserve"> </w:t>
      </w:r>
      <w:r w:rsidR="00254948" w:rsidRPr="00070AB9">
        <w:rPr>
          <w:rFonts w:ascii="Times New Roman" w:eastAsia="Times New Roman" w:hAnsi="Times New Roman" w:cs="Times New Roman"/>
          <w:color w:val="000000" w:themeColor="text1"/>
          <w:lang w:eastAsia="en-GB"/>
        </w:rPr>
        <w:t xml:space="preserve">In this period, the unemployment rate averaged at 5.8%. </w:t>
      </w:r>
    </w:p>
    <w:tbl>
      <w:tblPr>
        <w:tblStyle w:val="TableGrid"/>
        <w:tblW w:w="0" w:type="auto"/>
        <w:tblLook w:val="04A0" w:firstRow="1" w:lastRow="0" w:firstColumn="1" w:lastColumn="0" w:noHBand="0" w:noVBand="1"/>
      </w:tblPr>
      <w:tblGrid>
        <w:gridCol w:w="9016"/>
      </w:tblGrid>
      <w:tr w:rsidR="00070AB9" w:rsidRPr="00070AB9" w14:paraId="6488B058" w14:textId="77777777" w:rsidTr="006A008F">
        <w:tc>
          <w:tcPr>
            <w:tcW w:w="9016" w:type="dxa"/>
          </w:tcPr>
          <w:p w14:paraId="15B53A42" w14:textId="7D5ADFC4" w:rsidR="006A008F" w:rsidRPr="00070AB9" w:rsidRDefault="006A008F" w:rsidP="00E30C75">
            <w:pPr>
              <w:pStyle w:val="OBEBody"/>
              <w:rPr>
                <w:rFonts w:ascii="Times New Roman" w:eastAsia="Calibri" w:hAnsi="Times New Roman" w:cs="Times New Roman"/>
                <w:b/>
                <w:bCs/>
                <w:color w:val="000000" w:themeColor="text1"/>
                <w:shd w:val="clear" w:color="auto" w:fill="FFFFFF"/>
              </w:rPr>
            </w:pPr>
            <w:r w:rsidRPr="00070AB9">
              <w:rPr>
                <w:rFonts w:ascii="Times New Roman" w:eastAsia="Calibri" w:hAnsi="Times New Roman" w:cs="Times New Roman"/>
                <w:b/>
                <w:bCs/>
                <w:color w:val="000000" w:themeColor="text1"/>
                <w:shd w:val="clear" w:color="auto" w:fill="FFFFFF"/>
              </w:rPr>
              <w:t>Table 2: Summary Statistics (1998-2019)</w:t>
            </w:r>
          </w:p>
        </w:tc>
      </w:tr>
      <w:tr w:rsidR="006A008F" w:rsidRPr="00070AB9" w14:paraId="7D164AE4" w14:textId="77777777" w:rsidTr="006A008F">
        <w:tc>
          <w:tcPr>
            <w:tcW w:w="9016" w:type="dxa"/>
          </w:tcPr>
          <w:tbl>
            <w:tblPr>
              <w:tblW w:w="8795" w:type="dxa"/>
              <w:tblLook w:val="04A0" w:firstRow="1" w:lastRow="0" w:firstColumn="1" w:lastColumn="0" w:noHBand="0" w:noVBand="1"/>
            </w:tblPr>
            <w:tblGrid>
              <w:gridCol w:w="3475"/>
              <w:gridCol w:w="1042"/>
              <w:gridCol w:w="1064"/>
              <w:gridCol w:w="1064"/>
              <w:gridCol w:w="1086"/>
              <w:gridCol w:w="1064"/>
            </w:tblGrid>
            <w:tr w:rsidR="00070AB9" w:rsidRPr="00070AB9" w14:paraId="3F972A7D" w14:textId="77777777" w:rsidTr="006A008F">
              <w:trPr>
                <w:trHeight w:val="294"/>
              </w:trPr>
              <w:tc>
                <w:tcPr>
                  <w:tcW w:w="3475" w:type="dxa"/>
                  <w:tcBorders>
                    <w:top w:val="single" w:sz="8" w:space="0" w:color="auto"/>
                    <w:left w:val="nil"/>
                    <w:bottom w:val="single" w:sz="12" w:space="0" w:color="auto"/>
                    <w:right w:val="nil"/>
                  </w:tcBorders>
                  <w:shd w:val="clear" w:color="auto" w:fill="auto"/>
                  <w:noWrap/>
                  <w:vAlign w:val="bottom"/>
                  <w:hideMark/>
                </w:tcPr>
                <w:p w14:paraId="3EFB28BF"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Variable</w:t>
                  </w:r>
                </w:p>
              </w:tc>
              <w:tc>
                <w:tcPr>
                  <w:tcW w:w="1042" w:type="dxa"/>
                  <w:tcBorders>
                    <w:top w:val="single" w:sz="8" w:space="0" w:color="auto"/>
                    <w:left w:val="nil"/>
                    <w:bottom w:val="single" w:sz="12" w:space="0" w:color="auto"/>
                    <w:right w:val="nil"/>
                  </w:tcBorders>
                  <w:shd w:val="clear" w:color="auto" w:fill="auto"/>
                  <w:noWrap/>
                  <w:vAlign w:val="bottom"/>
                  <w:hideMark/>
                </w:tcPr>
                <w:p w14:paraId="4456EC78"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proofErr w:type="spellStart"/>
                  <w:r w:rsidRPr="00070AB9">
                    <w:rPr>
                      <w:rFonts w:ascii="Times New Roman" w:eastAsia="Times New Roman" w:hAnsi="Times New Roman" w:cs="Times New Roman"/>
                      <w:b/>
                      <w:bCs/>
                      <w:color w:val="000000" w:themeColor="text1"/>
                      <w:lang w:eastAsia="en-GB"/>
                    </w:rPr>
                    <w:t>Obs</w:t>
                  </w:r>
                  <w:proofErr w:type="spellEnd"/>
                </w:p>
              </w:tc>
              <w:tc>
                <w:tcPr>
                  <w:tcW w:w="1064" w:type="dxa"/>
                  <w:tcBorders>
                    <w:top w:val="single" w:sz="8" w:space="0" w:color="auto"/>
                    <w:left w:val="nil"/>
                    <w:bottom w:val="single" w:sz="12" w:space="0" w:color="auto"/>
                    <w:right w:val="nil"/>
                  </w:tcBorders>
                  <w:shd w:val="clear" w:color="auto" w:fill="auto"/>
                  <w:noWrap/>
                  <w:vAlign w:val="bottom"/>
                  <w:hideMark/>
                </w:tcPr>
                <w:p w14:paraId="55BAA390"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Mean</w:t>
                  </w:r>
                </w:p>
              </w:tc>
              <w:tc>
                <w:tcPr>
                  <w:tcW w:w="1064" w:type="dxa"/>
                  <w:tcBorders>
                    <w:top w:val="single" w:sz="8" w:space="0" w:color="auto"/>
                    <w:left w:val="nil"/>
                    <w:bottom w:val="single" w:sz="12" w:space="0" w:color="auto"/>
                    <w:right w:val="nil"/>
                  </w:tcBorders>
                  <w:shd w:val="clear" w:color="auto" w:fill="auto"/>
                  <w:noWrap/>
                  <w:vAlign w:val="bottom"/>
                  <w:hideMark/>
                </w:tcPr>
                <w:p w14:paraId="7421C1B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Std. Dev.</w:t>
                  </w:r>
                </w:p>
              </w:tc>
              <w:tc>
                <w:tcPr>
                  <w:tcW w:w="1086" w:type="dxa"/>
                  <w:tcBorders>
                    <w:top w:val="single" w:sz="8" w:space="0" w:color="auto"/>
                    <w:left w:val="nil"/>
                    <w:bottom w:val="single" w:sz="12" w:space="0" w:color="auto"/>
                    <w:right w:val="nil"/>
                  </w:tcBorders>
                  <w:shd w:val="clear" w:color="auto" w:fill="auto"/>
                  <w:noWrap/>
                  <w:vAlign w:val="bottom"/>
                  <w:hideMark/>
                </w:tcPr>
                <w:p w14:paraId="4E10C99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Min</w:t>
                  </w:r>
                </w:p>
              </w:tc>
              <w:tc>
                <w:tcPr>
                  <w:tcW w:w="1064" w:type="dxa"/>
                  <w:tcBorders>
                    <w:top w:val="single" w:sz="8" w:space="0" w:color="auto"/>
                    <w:left w:val="nil"/>
                    <w:bottom w:val="single" w:sz="12" w:space="0" w:color="auto"/>
                    <w:right w:val="nil"/>
                  </w:tcBorders>
                  <w:shd w:val="clear" w:color="auto" w:fill="auto"/>
                  <w:noWrap/>
                  <w:vAlign w:val="bottom"/>
                  <w:hideMark/>
                </w:tcPr>
                <w:p w14:paraId="75119BE9"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Max</w:t>
                  </w:r>
                </w:p>
              </w:tc>
            </w:tr>
            <w:tr w:rsidR="00070AB9" w:rsidRPr="00070AB9" w14:paraId="2C63338D" w14:textId="77777777" w:rsidTr="006A008F">
              <w:trPr>
                <w:trHeight w:val="294"/>
              </w:trPr>
              <w:tc>
                <w:tcPr>
                  <w:tcW w:w="3475" w:type="dxa"/>
                  <w:tcBorders>
                    <w:top w:val="nil"/>
                    <w:left w:val="nil"/>
                    <w:bottom w:val="nil"/>
                    <w:right w:val="nil"/>
                  </w:tcBorders>
                  <w:shd w:val="clear" w:color="auto" w:fill="auto"/>
                  <w:noWrap/>
                  <w:vAlign w:val="bottom"/>
                  <w:hideMark/>
                </w:tcPr>
                <w:p w14:paraId="2545C62B"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Food and drink (% Growth)</w:t>
                  </w:r>
                </w:p>
              </w:tc>
              <w:tc>
                <w:tcPr>
                  <w:tcW w:w="1042" w:type="dxa"/>
                  <w:tcBorders>
                    <w:top w:val="nil"/>
                    <w:left w:val="nil"/>
                    <w:bottom w:val="nil"/>
                    <w:right w:val="nil"/>
                  </w:tcBorders>
                  <w:shd w:val="clear" w:color="auto" w:fill="auto"/>
                  <w:noWrap/>
                  <w:vAlign w:val="bottom"/>
                  <w:hideMark/>
                </w:tcPr>
                <w:p w14:paraId="00D0216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4B9E7F0D"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1.00</w:t>
                  </w:r>
                </w:p>
              </w:tc>
              <w:tc>
                <w:tcPr>
                  <w:tcW w:w="1064" w:type="dxa"/>
                  <w:tcBorders>
                    <w:top w:val="nil"/>
                    <w:left w:val="nil"/>
                    <w:bottom w:val="nil"/>
                    <w:right w:val="nil"/>
                  </w:tcBorders>
                  <w:shd w:val="clear" w:color="auto" w:fill="auto"/>
                  <w:noWrap/>
                  <w:vAlign w:val="bottom"/>
                  <w:hideMark/>
                </w:tcPr>
                <w:p w14:paraId="1A7D01A0"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2.50</w:t>
                  </w:r>
                </w:p>
              </w:tc>
              <w:tc>
                <w:tcPr>
                  <w:tcW w:w="1086" w:type="dxa"/>
                  <w:tcBorders>
                    <w:top w:val="nil"/>
                    <w:left w:val="nil"/>
                    <w:bottom w:val="nil"/>
                    <w:right w:val="nil"/>
                  </w:tcBorders>
                  <w:shd w:val="clear" w:color="auto" w:fill="auto"/>
                  <w:noWrap/>
                  <w:vAlign w:val="bottom"/>
                  <w:hideMark/>
                </w:tcPr>
                <w:p w14:paraId="48B40548"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-4.25</w:t>
                  </w:r>
                </w:p>
              </w:tc>
              <w:tc>
                <w:tcPr>
                  <w:tcW w:w="1064" w:type="dxa"/>
                  <w:tcBorders>
                    <w:top w:val="nil"/>
                    <w:left w:val="nil"/>
                    <w:bottom w:val="nil"/>
                    <w:right w:val="nil"/>
                  </w:tcBorders>
                  <w:shd w:val="clear" w:color="auto" w:fill="auto"/>
                  <w:noWrap/>
                  <w:vAlign w:val="bottom"/>
                  <w:hideMark/>
                </w:tcPr>
                <w:p w14:paraId="3D3B70CD"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7.07</w:t>
                  </w:r>
                </w:p>
              </w:tc>
            </w:tr>
            <w:tr w:rsidR="00070AB9" w:rsidRPr="00070AB9" w14:paraId="547B3C1E" w14:textId="77777777" w:rsidTr="006A008F">
              <w:trPr>
                <w:trHeight w:val="283"/>
              </w:trPr>
              <w:tc>
                <w:tcPr>
                  <w:tcW w:w="3475" w:type="dxa"/>
                  <w:tcBorders>
                    <w:top w:val="nil"/>
                    <w:left w:val="nil"/>
                    <w:bottom w:val="nil"/>
                    <w:right w:val="nil"/>
                  </w:tcBorders>
                  <w:shd w:val="clear" w:color="auto" w:fill="auto"/>
                  <w:noWrap/>
                  <w:vAlign w:val="bottom"/>
                  <w:hideMark/>
                </w:tcPr>
                <w:p w14:paraId="74BD8235"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Alcohol and tobacco (% Growth)</w:t>
                  </w:r>
                </w:p>
              </w:tc>
              <w:tc>
                <w:tcPr>
                  <w:tcW w:w="1042" w:type="dxa"/>
                  <w:tcBorders>
                    <w:top w:val="nil"/>
                    <w:left w:val="nil"/>
                    <w:bottom w:val="nil"/>
                    <w:right w:val="nil"/>
                  </w:tcBorders>
                  <w:shd w:val="clear" w:color="auto" w:fill="auto"/>
                  <w:noWrap/>
                  <w:vAlign w:val="bottom"/>
                  <w:hideMark/>
                </w:tcPr>
                <w:p w14:paraId="2539313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1E224F38"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-1.39</w:t>
                  </w:r>
                </w:p>
              </w:tc>
              <w:tc>
                <w:tcPr>
                  <w:tcW w:w="1064" w:type="dxa"/>
                  <w:tcBorders>
                    <w:top w:val="nil"/>
                    <w:left w:val="nil"/>
                    <w:bottom w:val="nil"/>
                    <w:right w:val="nil"/>
                  </w:tcBorders>
                  <w:shd w:val="clear" w:color="auto" w:fill="auto"/>
                  <w:noWrap/>
                  <w:vAlign w:val="bottom"/>
                  <w:hideMark/>
                </w:tcPr>
                <w:p w14:paraId="2545E65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1.75</w:t>
                  </w:r>
                </w:p>
              </w:tc>
              <w:tc>
                <w:tcPr>
                  <w:tcW w:w="1086" w:type="dxa"/>
                  <w:tcBorders>
                    <w:top w:val="nil"/>
                    <w:left w:val="nil"/>
                    <w:bottom w:val="nil"/>
                    <w:right w:val="nil"/>
                  </w:tcBorders>
                  <w:shd w:val="clear" w:color="auto" w:fill="auto"/>
                  <w:noWrap/>
                  <w:vAlign w:val="bottom"/>
                  <w:hideMark/>
                </w:tcPr>
                <w:p w14:paraId="05A19C8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-4.16</w:t>
                  </w:r>
                </w:p>
              </w:tc>
              <w:tc>
                <w:tcPr>
                  <w:tcW w:w="1064" w:type="dxa"/>
                  <w:tcBorders>
                    <w:top w:val="nil"/>
                    <w:left w:val="nil"/>
                    <w:bottom w:val="nil"/>
                    <w:right w:val="nil"/>
                  </w:tcBorders>
                  <w:shd w:val="clear" w:color="auto" w:fill="auto"/>
                  <w:noWrap/>
                  <w:vAlign w:val="bottom"/>
                  <w:hideMark/>
                </w:tcPr>
                <w:p w14:paraId="23FDA3A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1.46</w:t>
                  </w:r>
                </w:p>
              </w:tc>
            </w:tr>
            <w:tr w:rsidR="00070AB9" w:rsidRPr="00070AB9" w14:paraId="23156A3A" w14:textId="77777777" w:rsidTr="006A008F">
              <w:trPr>
                <w:trHeight w:val="283"/>
              </w:trPr>
              <w:tc>
                <w:tcPr>
                  <w:tcW w:w="3475" w:type="dxa"/>
                  <w:tcBorders>
                    <w:top w:val="nil"/>
                    <w:left w:val="nil"/>
                    <w:bottom w:val="nil"/>
                    <w:right w:val="nil"/>
                  </w:tcBorders>
                  <w:shd w:val="clear" w:color="auto" w:fill="auto"/>
                  <w:noWrap/>
                  <w:vAlign w:val="bottom"/>
                  <w:hideMark/>
                </w:tcPr>
                <w:p w14:paraId="16BE2291"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Clothing and footwear (% Growth)</w:t>
                  </w:r>
                </w:p>
              </w:tc>
              <w:tc>
                <w:tcPr>
                  <w:tcW w:w="1042" w:type="dxa"/>
                  <w:tcBorders>
                    <w:top w:val="nil"/>
                    <w:left w:val="nil"/>
                    <w:bottom w:val="nil"/>
                    <w:right w:val="nil"/>
                  </w:tcBorders>
                  <w:shd w:val="clear" w:color="auto" w:fill="auto"/>
                  <w:noWrap/>
                  <w:vAlign w:val="bottom"/>
                  <w:hideMark/>
                </w:tcPr>
                <w:p w14:paraId="1740DC16"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2E47EF7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7.39</w:t>
                  </w:r>
                </w:p>
              </w:tc>
              <w:tc>
                <w:tcPr>
                  <w:tcW w:w="1064" w:type="dxa"/>
                  <w:tcBorders>
                    <w:top w:val="nil"/>
                    <w:left w:val="nil"/>
                    <w:bottom w:val="nil"/>
                    <w:right w:val="nil"/>
                  </w:tcBorders>
                  <w:shd w:val="clear" w:color="auto" w:fill="auto"/>
                  <w:noWrap/>
                  <w:vAlign w:val="bottom"/>
                  <w:hideMark/>
                </w:tcPr>
                <w:p w14:paraId="18B9856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4.64</w:t>
                  </w:r>
                </w:p>
              </w:tc>
              <w:tc>
                <w:tcPr>
                  <w:tcW w:w="1086" w:type="dxa"/>
                  <w:tcBorders>
                    <w:top w:val="nil"/>
                    <w:left w:val="nil"/>
                    <w:bottom w:val="nil"/>
                    <w:right w:val="nil"/>
                  </w:tcBorders>
                  <w:shd w:val="clear" w:color="auto" w:fill="auto"/>
                  <w:noWrap/>
                  <w:vAlign w:val="bottom"/>
                  <w:hideMark/>
                </w:tcPr>
                <w:p w14:paraId="203FF24D"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0.23</w:t>
                  </w:r>
                </w:p>
              </w:tc>
              <w:tc>
                <w:tcPr>
                  <w:tcW w:w="1064" w:type="dxa"/>
                  <w:tcBorders>
                    <w:top w:val="nil"/>
                    <w:left w:val="nil"/>
                    <w:bottom w:val="nil"/>
                    <w:right w:val="nil"/>
                  </w:tcBorders>
                  <w:shd w:val="clear" w:color="auto" w:fill="auto"/>
                  <w:noWrap/>
                  <w:vAlign w:val="bottom"/>
                  <w:hideMark/>
                </w:tcPr>
                <w:p w14:paraId="503F2FB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16.60</w:t>
                  </w:r>
                </w:p>
              </w:tc>
            </w:tr>
            <w:tr w:rsidR="00070AB9" w:rsidRPr="00070AB9" w14:paraId="4AF15982" w14:textId="77777777" w:rsidTr="006A008F">
              <w:trPr>
                <w:trHeight w:val="283"/>
              </w:trPr>
              <w:tc>
                <w:tcPr>
                  <w:tcW w:w="3475" w:type="dxa"/>
                  <w:tcBorders>
                    <w:top w:val="nil"/>
                    <w:left w:val="nil"/>
                    <w:bottom w:val="nil"/>
                    <w:right w:val="nil"/>
                  </w:tcBorders>
                  <w:shd w:val="clear" w:color="auto" w:fill="auto"/>
                  <w:noWrap/>
                  <w:vAlign w:val="bottom"/>
                  <w:hideMark/>
                </w:tcPr>
                <w:p w14:paraId="0798ED25"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Furnishings (% Growth)</w:t>
                  </w:r>
                </w:p>
              </w:tc>
              <w:tc>
                <w:tcPr>
                  <w:tcW w:w="1042" w:type="dxa"/>
                  <w:tcBorders>
                    <w:top w:val="nil"/>
                    <w:left w:val="nil"/>
                    <w:bottom w:val="nil"/>
                    <w:right w:val="nil"/>
                  </w:tcBorders>
                  <w:shd w:val="clear" w:color="auto" w:fill="auto"/>
                  <w:noWrap/>
                  <w:vAlign w:val="bottom"/>
                  <w:hideMark/>
                </w:tcPr>
                <w:p w14:paraId="10CE4F27"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55BF532C"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2.70</w:t>
                  </w:r>
                </w:p>
              </w:tc>
              <w:tc>
                <w:tcPr>
                  <w:tcW w:w="1064" w:type="dxa"/>
                  <w:tcBorders>
                    <w:top w:val="nil"/>
                    <w:left w:val="nil"/>
                    <w:bottom w:val="nil"/>
                    <w:right w:val="nil"/>
                  </w:tcBorders>
                  <w:shd w:val="clear" w:color="auto" w:fill="auto"/>
                  <w:noWrap/>
                  <w:vAlign w:val="bottom"/>
                  <w:hideMark/>
                </w:tcPr>
                <w:p w14:paraId="27E6AE2E"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4.39</w:t>
                  </w:r>
                </w:p>
              </w:tc>
              <w:tc>
                <w:tcPr>
                  <w:tcW w:w="1086" w:type="dxa"/>
                  <w:tcBorders>
                    <w:top w:val="nil"/>
                    <w:left w:val="nil"/>
                    <w:bottom w:val="nil"/>
                    <w:right w:val="nil"/>
                  </w:tcBorders>
                  <w:shd w:val="clear" w:color="auto" w:fill="auto"/>
                  <w:noWrap/>
                  <w:vAlign w:val="bottom"/>
                  <w:hideMark/>
                </w:tcPr>
                <w:p w14:paraId="57B4E377"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-7.73</w:t>
                  </w:r>
                </w:p>
              </w:tc>
              <w:tc>
                <w:tcPr>
                  <w:tcW w:w="1064" w:type="dxa"/>
                  <w:tcBorders>
                    <w:top w:val="nil"/>
                    <w:left w:val="nil"/>
                    <w:bottom w:val="nil"/>
                    <w:right w:val="nil"/>
                  </w:tcBorders>
                  <w:shd w:val="clear" w:color="auto" w:fill="auto"/>
                  <w:noWrap/>
                  <w:vAlign w:val="bottom"/>
                  <w:hideMark/>
                </w:tcPr>
                <w:p w14:paraId="5187346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8.47</w:t>
                  </w:r>
                </w:p>
              </w:tc>
            </w:tr>
            <w:tr w:rsidR="00070AB9" w:rsidRPr="00070AB9" w14:paraId="4200C305" w14:textId="77777777" w:rsidTr="006A008F">
              <w:trPr>
                <w:trHeight w:val="283"/>
              </w:trPr>
              <w:tc>
                <w:tcPr>
                  <w:tcW w:w="3475" w:type="dxa"/>
                  <w:tcBorders>
                    <w:top w:val="nil"/>
                    <w:left w:val="nil"/>
                    <w:bottom w:val="nil"/>
                    <w:right w:val="nil"/>
                  </w:tcBorders>
                  <w:shd w:val="clear" w:color="auto" w:fill="auto"/>
                  <w:noWrap/>
                  <w:vAlign w:val="bottom"/>
                  <w:hideMark/>
                </w:tcPr>
                <w:p w14:paraId="2803BC20"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Miscellaneous (% Growth)</w:t>
                  </w:r>
                </w:p>
              </w:tc>
              <w:tc>
                <w:tcPr>
                  <w:tcW w:w="1042" w:type="dxa"/>
                  <w:tcBorders>
                    <w:top w:val="nil"/>
                    <w:left w:val="nil"/>
                    <w:bottom w:val="nil"/>
                    <w:right w:val="nil"/>
                  </w:tcBorders>
                  <w:shd w:val="clear" w:color="auto" w:fill="auto"/>
                  <w:noWrap/>
                  <w:vAlign w:val="bottom"/>
                  <w:hideMark/>
                </w:tcPr>
                <w:p w14:paraId="3254E0AE"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7D3C50DE"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4.53</w:t>
                  </w:r>
                </w:p>
              </w:tc>
              <w:tc>
                <w:tcPr>
                  <w:tcW w:w="1064" w:type="dxa"/>
                  <w:tcBorders>
                    <w:top w:val="nil"/>
                    <w:left w:val="nil"/>
                    <w:bottom w:val="nil"/>
                    <w:right w:val="nil"/>
                  </w:tcBorders>
                  <w:shd w:val="clear" w:color="auto" w:fill="auto"/>
                  <w:noWrap/>
                  <w:vAlign w:val="bottom"/>
                  <w:hideMark/>
                </w:tcPr>
                <w:p w14:paraId="0DF756CD"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5.20</w:t>
                  </w:r>
                </w:p>
              </w:tc>
              <w:tc>
                <w:tcPr>
                  <w:tcW w:w="1086" w:type="dxa"/>
                  <w:tcBorders>
                    <w:top w:val="nil"/>
                    <w:left w:val="nil"/>
                    <w:bottom w:val="nil"/>
                    <w:right w:val="nil"/>
                  </w:tcBorders>
                  <w:shd w:val="clear" w:color="auto" w:fill="auto"/>
                  <w:noWrap/>
                  <w:vAlign w:val="bottom"/>
                  <w:hideMark/>
                </w:tcPr>
                <w:p w14:paraId="64C9BD94"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-5.84</w:t>
                  </w:r>
                </w:p>
              </w:tc>
              <w:tc>
                <w:tcPr>
                  <w:tcW w:w="1064" w:type="dxa"/>
                  <w:tcBorders>
                    <w:top w:val="nil"/>
                    <w:left w:val="nil"/>
                    <w:bottom w:val="nil"/>
                    <w:right w:val="nil"/>
                  </w:tcBorders>
                  <w:shd w:val="clear" w:color="auto" w:fill="auto"/>
                  <w:noWrap/>
                  <w:vAlign w:val="bottom"/>
                  <w:hideMark/>
                </w:tcPr>
                <w:p w14:paraId="2A7ABF11"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12.71</w:t>
                  </w:r>
                </w:p>
              </w:tc>
            </w:tr>
            <w:tr w:rsidR="00070AB9" w:rsidRPr="00070AB9" w14:paraId="3322DCE3" w14:textId="77777777" w:rsidTr="006A008F">
              <w:trPr>
                <w:trHeight w:val="283"/>
              </w:trPr>
              <w:tc>
                <w:tcPr>
                  <w:tcW w:w="3475" w:type="dxa"/>
                  <w:tcBorders>
                    <w:top w:val="nil"/>
                    <w:left w:val="nil"/>
                    <w:bottom w:val="nil"/>
                    <w:right w:val="nil"/>
                  </w:tcBorders>
                  <w:shd w:val="clear" w:color="auto" w:fill="auto"/>
                  <w:noWrap/>
                  <w:vAlign w:val="bottom"/>
                  <w:hideMark/>
                </w:tcPr>
                <w:p w14:paraId="32467A79"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Total Consumer Goods (% Growth)</w:t>
                  </w:r>
                </w:p>
              </w:tc>
              <w:tc>
                <w:tcPr>
                  <w:tcW w:w="1042" w:type="dxa"/>
                  <w:tcBorders>
                    <w:top w:val="nil"/>
                    <w:left w:val="nil"/>
                    <w:bottom w:val="nil"/>
                    <w:right w:val="nil"/>
                  </w:tcBorders>
                  <w:shd w:val="clear" w:color="auto" w:fill="auto"/>
                  <w:noWrap/>
                  <w:vAlign w:val="bottom"/>
                  <w:hideMark/>
                </w:tcPr>
                <w:p w14:paraId="54D53DC3"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13AF3876"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2.00</w:t>
                  </w:r>
                </w:p>
              </w:tc>
              <w:tc>
                <w:tcPr>
                  <w:tcW w:w="1064" w:type="dxa"/>
                  <w:tcBorders>
                    <w:top w:val="nil"/>
                    <w:left w:val="nil"/>
                    <w:bottom w:val="nil"/>
                    <w:right w:val="nil"/>
                  </w:tcBorders>
                  <w:shd w:val="clear" w:color="auto" w:fill="auto"/>
                  <w:noWrap/>
                  <w:vAlign w:val="bottom"/>
                  <w:hideMark/>
                </w:tcPr>
                <w:p w14:paraId="4415B97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1.70</w:t>
                  </w:r>
                </w:p>
              </w:tc>
              <w:tc>
                <w:tcPr>
                  <w:tcW w:w="1086" w:type="dxa"/>
                  <w:tcBorders>
                    <w:top w:val="nil"/>
                    <w:left w:val="nil"/>
                    <w:bottom w:val="nil"/>
                    <w:right w:val="nil"/>
                  </w:tcBorders>
                  <w:shd w:val="clear" w:color="auto" w:fill="auto"/>
                  <w:noWrap/>
                  <w:vAlign w:val="bottom"/>
                  <w:hideMark/>
                </w:tcPr>
                <w:p w14:paraId="1078153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-1.67</w:t>
                  </w:r>
                </w:p>
              </w:tc>
              <w:tc>
                <w:tcPr>
                  <w:tcW w:w="1064" w:type="dxa"/>
                  <w:tcBorders>
                    <w:top w:val="nil"/>
                    <w:left w:val="nil"/>
                    <w:bottom w:val="nil"/>
                    <w:right w:val="nil"/>
                  </w:tcBorders>
                  <w:shd w:val="clear" w:color="auto" w:fill="auto"/>
                  <w:noWrap/>
                  <w:vAlign w:val="bottom"/>
                  <w:hideMark/>
                </w:tcPr>
                <w:p w14:paraId="69D1DD47"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4.14</w:t>
                  </w:r>
                </w:p>
              </w:tc>
            </w:tr>
            <w:tr w:rsidR="00070AB9" w:rsidRPr="00070AB9" w14:paraId="22926510" w14:textId="77777777" w:rsidTr="006A008F">
              <w:trPr>
                <w:trHeight w:val="283"/>
              </w:trPr>
              <w:tc>
                <w:tcPr>
                  <w:tcW w:w="3475" w:type="dxa"/>
                  <w:tcBorders>
                    <w:top w:val="nil"/>
                    <w:left w:val="nil"/>
                    <w:bottom w:val="nil"/>
                    <w:right w:val="nil"/>
                  </w:tcBorders>
                  <w:shd w:val="clear" w:color="auto" w:fill="auto"/>
                  <w:noWrap/>
                  <w:vAlign w:val="bottom"/>
                  <w:hideMark/>
                </w:tcPr>
                <w:p w14:paraId="5B80C01D"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Total HH expenditures (% Growth)</w:t>
                  </w:r>
                </w:p>
              </w:tc>
              <w:tc>
                <w:tcPr>
                  <w:tcW w:w="1042" w:type="dxa"/>
                  <w:tcBorders>
                    <w:top w:val="nil"/>
                    <w:left w:val="nil"/>
                    <w:bottom w:val="nil"/>
                    <w:right w:val="nil"/>
                  </w:tcBorders>
                  <w:shd w:val="clear" w:color="auto" w:fill="auto"/>
                  <w:noWrap/>
                  <w:vAlign w:val="bottom"/>
                  <w:hideMark/>
                </w:tcPr>
                <w:p w14:paraId="7556F598"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2418B8FD"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2.28</w:t>
                  </w:r>
                </w:p>
              </w:tc>
              <w:tc>
                <w:tcPr>
                  <w:tcW w:w="1064" w:type="dxa"/>
                  <w:tcBorders>
                    <w:top w:val="nil"/>
                    <w:left w:val="nil"/>
                    <w:bottom w:val="nil"/>
                    <w:right w:val="nil"/>
                  </w:tcBorders>
                  <w:shd w:val="clear" w:color="auto" w:fill="auto"/>
                  <w:noWrap/>
                  <w:vAlign w:val="bottom"/>
                  <w:hideMark/>
                </w:tcPr>
                <w:p w14:paraId="637D839F"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1.81</w:t>
                  </w:r>
                </w:p>
              </w:tc>
              <w:tc>
                <w:tcPr>
                  <w:tcW w:w="1086" w:type="dxa"/>
                  <w:tcBorders>
                    <w:top w:val="nil"/>
                    <w:left w:val="nil"/>
                    <w:bottom w:val="nil"/>
                    <w:right w:val="nil"/>
                  </w:tcBorders>
                  <w:shd w:val="clear" w:color="auto" w:fill="auto"/>
                  <w:noWrap/>
                  <w:vAlign w:val="bottom"/>
                  <w:hideMark/>
                </w:tcPr>
                <w:p w14:paraId="612F5010"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-3.06</w:t>
                  </w:r>
                </w:p>
              </w:tc>
              <w:tc>
                <w:tcPr>
                  <w:tcW w:w="1064" w:type="dxa"/>
                  <w:tcBorders>
                    <w:top w:val="nil"/>
                    <w:left w:val="nil"/>
                    <w:bottom w:val="nil"/>
                    <w:right w:val="nil"/>
                  </w:tcBorders>
                  <w:shd w:val="clear" w:color="auto" w:fill="auto"/>
                  <w:noWrap/>
                  <w:vAlign w:val="bottom"/>
                  <w:hideMark/>
                </w:tcPr>
                <w:p w14:paraId="6F1F65D4"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4.66</w:t>
                  </w:r>
                </w:p>
              </w:tc>
            </w:tr>
            <w:tr w:rsidR="00070AB9" w:rsidRPr="00070AB9" w14:paraId="47930FEC" w14:textId="77777777" w:rsidTr="006A008F">
              <w:trPr>
                <w:trHeight w:val="283"/>
              </w:trPr>
              <w:tc>
                <w:tcPr>
                  <w:tcW w:w="3475" w:type="dxa"/>
                  <w:tcBorders>
                    <w:top w:val="nil"/>
                    <w:left w:val="nil"/>
                    <w:bottom w:val="nil"/>
                    <w:right w:val="nil"/>
                  </w:tcBorders>
                  <w:shd w:val="clear" w:color="auto" w:fill="auto"/>
                  <w:noWrap/>
                  <w:vAlign w:val="bottom"/>
                  <w:hideMark/>
                </w:tcPr>
                <w:p w14:paraId="653BD1C7"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GDP (% Growth)</w:t>
                  </w:r>
                </w:p>
              </w:tc>
              <w:tc>
                <w:tcPr>
                  <w:tcW w:w="1042" w:type="dxa"/>
                  <w:tcBorders>
                    <w:top w:val="nil"/>
                    <w:left w:val="nil"/>
                    <w:bottom w:val="nil"/>
                    <w:right w:val="nil"/>
                  </w:tcBorders>
                  <w:shd w:val="clear" w:color="auto" w:fill="auto"/>
                  <w:noWrap/>
                  <w:vAlign w:val="bottom"/>
                  <w:hideMark/>
                </w:tcPr>
                <w:p w14:paraId="42EBBD9F"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68D6600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2.00</w:t>
                  </w:r>
                </w:p>
              </w:tc>
              <w:tc>
                <w:tcPr>
                  <w:tcW w:w="1064" w:type="dxa"/>
                  <w:tcBorders>
                    <w:top w:val="nil"/>
                    <w:left w:val="nil"/>
                    <w:bottom w:val="nil"/>
                    <w:right w:val="nil"/>
                  </w:tcBorders>
                  <w:shd w:val="clear" w:color="auto" w:fill="auto"/>
                  <w:noWrap/>
                  <w:vAlign w:val="bottom"/>
                  <w:hideMark/>
                </w:tcPr>
                <w:p w14:paraId="032F5353"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1.66</w:t>
                  </w:r>
                </w:p>
              </w:tc>
              <w:tc>
                <w:tcPr>
                  <w:tcW w:w="1086" w:type="dxa"/>
                  <w:tcBorders>
                    <w:top w:val="nil"/>
                    <w:left w:val="nil"/>
                    <w:bottom w:val="nil"/>
                    <w:right w:val="nil"/>
                  </w:tcBorders>
                  <w:shd w:val="clear" w:color="auto" w:fill="auto"/>
                  <w:noWrap/>
                  <w:vAlign w:val="bottom"/>
                  <w:hideMark/>
                </w:tcPr>
                <w:p w14:paraId="499C5C03"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-4.25</w:t>
                  </w:r>
                </w:p>
              </w:tc>
              <w:tc>
                <w:tcPr>
                  <w:tcW w:w="1064" w:type="dxa"/>
                  <w:tcBorders>
                    <w:top w:val="nil"/>
                    <w:left w:val="nil"/>
                    <w:bottom w:val="nil"/>
                    <w:right w:val="nil"/>
                  </w:tcBorders>
                  <w:shd w:val="clear" w:color="auto" w:fill="auto"/>
                  <w:noWrap/>
                  <w:vAlign w:val="bottom"/>
                  <w:hideMark/>
                </w:tcPr>
                <w:p w14:paraId="0E82B62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3.64</w:t>
                  </w:r>
                </w:p>
              </w:tc>
            </w:tr>
            <w:tr w:rsidR="00070AB9" w:rsidRPr="00070AB9" w14:paraId="5F358DA5" w14:textId="77777777" w:rsidTr="006A008F">
              <w:trPr>
                <w:trHeight w:val="283"/>
              </w:trPr>
              <w:tc>
                <w:tcPr>
                  <w:tcW w:w="3475" w:type="dxa"/>
                  <w:tcBorders>
                    <w:top w:val="nil"/>
                    <w:left w:val="nil"/>
                    <w:bottom w:val="nil"/>
                    <w:right w:val="nil"/>
                  </w:tcBorders>
                  <w:shd w:val="clear" w:color="auto" w:fill="auto"/>
                  <w:noWrap/>
                  <w:vAlign w:val="bottom"/>
                  <w:hideMark/>
                </w:tcPr>
                <w:p w14:paraId="6FD6A015"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Unemployment Rate (%)</w:t>
                  </w:r>
                </w:p>
              </w:tc>
              <w:tc>
                <w:tcPr>
                  <w:tcW w:w="1042" w:type="dxa"/>
                  <w:tcBorders>
                    <w:top w:val="nil"/>
                    <w:left w:val="nil"/>
                    <w:bottom w:val="nil"/>
                    <w:right w:val="nil"/>
                  </w:tcBorders>
                  <w:shd w:val="clear" w:color="auto" w:fill="auto"/>
                  <w:noWrap/>
                  <w:vAlign w:val="bottom"/>
                  <w:hideMark/>
                </w:tcPr>
                <w:p w14:paraId="17C82D2F"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nil"/>
                    <w:right w:val="nil"/>
                  </w:tcBorders>
                  <w:shd w:val="clear" w:color="auto" w:fill="auto"/>
                  <w:noWrap/>
                  <w:vAlign w:val="bottom"/>
                  <w:hideMark/>
                </w:tcPr>
                <w:p w14:paraId="757A18BF"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5.77</w:t>
                  </w:r>
                </w:p>
              </w:tc>
              <w:tc>
                <w:tcPr>
                  <w:tcW w:w="1064" w:type="dxa"/>
                  <w:tcBorders>
                    <w:top w:val="nil"/>
                    <w:left w:val="nil"/>
                    <w:bottom w:val="nil"/>
                    <w:right w:val="nil"/>
                  </w:tcBorders>
                  <w:shd w:val="clear" w:color="auto" w:fill="auto"/>
                  <w:noWrap/>
                  <w:vAlign w:val="bottom"/>
                  <w:hideMark/>
                </w:tcPr>
                <w:p w14:paraId="68144BD3"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1.30</w:t>
                  </w:r>
                </w:p>
              </w:tc>
              <w:tc>
                <w:tcPr>
                  <w:tcW w:w="1086" w:type="dxa"/>
                  <w:tcBorders>
                    <w:top w:val="nil"/>
                    <w:left w:val="nil"/>
                    <w:bottom w:val="nil"/>
                    <w:right w:val="nil"/>
                  </w:tcBorders>
                  <w:shd w:val="clear" w:color="auto" w:fill="auto"/>
                  <w:noWrap/>
                  <w:vAlign w:val="bottom"/>
                  <w:hideMark/>
                </w:tcPr>
                <w:p w14:paraId="6DADC1FB"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3.80</w:t>
                  </w:r>
                </w:p>
              </w:tc>
              <w:tc>
                <w:tcPr>
                  <w:tcW w:w="1064" w:type="dxa"/>
                  <w:tcBorders>
                    <w:top w:val="nil"/>
                    <w:left w:val="nil"/>
                    <w:bottom w:val="nil"/>
                    <w:right w:val="nil"/>
                  </w:tcBorders>
                  <w:shd w:val="clear" w:color="auto" w:fill="auto"/>
                  <w:noWrap/>
                  <w:vAlign w:val="bottom"/>
                  <w:hideMark/>
                </w:tcPr>
                <w:p w14:paraId="3DF79C57"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8.10</w:t>
                  </w:r>
                </w:p>
              </w:tc>
            </w:tr>
            <w:tr w:rsidR="00070AB9" w:rsidRPr="00070AB9" w14:paraId="2220E9AE" w14:textId="77777777" w:rsidTr="006A008F">
              <w:trPr>
                <w:trHeight w:val="294"/>
              </w:trPr>
              <w:tc>
                <w:tcPr>
                  <w:tcW w:w="3475" w:type="dxa"/>
                  <w:tcBorders>
                    <w:top w:val="nil"/>
                    <w:left w:val="nil"/>
                    <w:bottom w:val="single" w:sz="12" w:space="0" w:color="auto"/>
                    <w:right w:val="nil"/>
                  </w:tcBorders>
                  <w:shd w:val="clear" w:color="auto" w:fill="auto"/>
                  <w:noWrap/>
                  <w:vAlign w:val="bottom"/>
                  <w:hideMark/>
                </w:tcPr>
                <w:p w14:paraId="2487DD31" w14:textId="77777777" w:rsidR="006A008F" w:rsidRPr="00070AB9" w:rsidRDefault="006A008F" w:rsidP="006A008F">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Consumer Confidence Index</w:t>
                  </w:r>
                </w:p>
              </w:tc>
              <w:tc>
                <w:tcPr>
                  <w:tcW w:w="1042" w:type="dxa"/>
                  <w:tcBorders>
                    <w:top w:val="nil"/>
                    <w:left w:val="nil"/>
                    <w:bottom w:val="single" w:sz="12" w:space="0" w:color="auto"/>
                    <w:right w:val="nil"/>
                  </w:tcBorders>
                  <w:shd w:val="clear" w:color="auto" w:fill="auto"/>
                  <w:noWrap/>
                  <w:vAlign w:val="bottom"/>
                  <w:hideMark/>
                </w:tcPr>
                <w:p w14:paraId="0B3D6A02"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22</w:t>
                  </w:r>
                </w:p>
              </w:tc>
              <w:tc>
                <w:tcPr>
                  <w:tcW w:w="1064" w:type="dxa"/>
                  <w:tcBorders>
                    <w:top w:val="nil"/>
                    <w:left w:val="nil"/>
                    <w:bottom w:val="single" w:sz="12" w:space="0" w:color="auto"/>
                    <w:right w:val="nil"/>
                  </w:tcBorders>
                  <w:shd w:val="clear" w:color="auto" w:fill="auto"/>
                  <w:noWrap/>
                  <w:vAlign w:val="bottom"/>
                  <w:hideMark/>
                </w:tcPr>
                <w:p w14:paraId="4E1893F6"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-9.11</w:t>
                  </w:r>
                </w:p>
              </w:tc>
              <w:tc>
                <w:tcPr>
                  <w:tcW w:w="1064" w:type="dxa"/>
                  <w:tcBorders>
                    <w:top w:val="nil"/>
                    <w:left w:val="nil"/>
                    <w:bottom w:val="single" w:sz="12" w:space="0" w:color="auto"/>
                    <w:right w:val="nil"/>
                  </w:tcBorders>
                  <w:shd w:val="clear" w:color="auto" w:fill="auto"/>
                  <w:noWrap/>
                  <w:vAlign w:val="bottom"/>
                  <w:hideMark/>
                </w:tcPr>
                <w:p w14:paraId="1FF117EA"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10.85</w:t>
                  </w:r>
                </w:p>
              </w:tc>
              <w:tc>
                <w:tcPr>
                  <w:tcW w:w="1086" w:type="dxa"/>
                  <w:tcBorders>
                    <w:top w:val="nil"/>
                    <w:left w:val="nil"/>
                    <w:bottom w:val="single" w:sz="12" w:space="0" w:color="auto"/>
                    <w:right w:val="nil"/>
                  </w:tcBorders>
                  <w:shd w:val="clear" w:color="auto" w:fill="auto"/>
                  <w:noWrap/>
                  <w:vAlign w:val="bottom"/>
                  <w:hideMark/>
                </w:tcPr>
                <w:p w14:paraId="7F2F33C9"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-29.50</w:t>
                  </w:r>
                </w:p>
              </w:tc>
              <w:tc>
                <w:tcPr>
                  <w:tcW w:w="1064" w:type="dxa"/>
                  <w:tcBorders>
                    <w:top w:val="nil"/>
                    <w:left w:val="nil"/>
                    <w:bottom w:val="single" w:sz="12" w:space="0" w:color="auto"/>
                    <w:right w:val="nil"/>
                  </w:tcBorders>
                  <w:shd w:val="clear" w:color="auto" w:fill="auto"/>
                  <w:noWrap/>
                  <w:vAlign w:val="bottom"/>
                  <w:hideMark/>
                </w:tcPr>
                <w:p w14:paraId="50E2A6AC" w14:textId="77777777" w:rsidR="006A008F" w:rsidRPr="00070AB9" w:rsidRDefault="006A008F" w:rsidP="006A008F">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3.33</w:t>
                  </w:r>
                </w:p>
              </w:tc>
            </w:tr>
          </w:tbl>
          <w:p w14:paraId="6AE20CEA" w14:textId="77777777" w:rsidR="006A008F" w:rsidRPr="00070AB9" w:rsidRDefault="006A008F" w:rsidP="00E30C75">
            <w:pPr>
              <w:pStyle w:val="OBEBody"/>
              <w:rPr>
                <w:rFonts w:ascii="Times New Roman" w:eastAsia="Calibri" w:hAnsi="Times New Roman" w:cs="Times New Roman"/>
                <w:b/>
                <w:bCs/>
                <w:color w:val="000000" w:themeColor="text1"/>
                <w:shd w:val="clear" w:color="auto" w:fill="FFFFFF"/>
              </w:rPr>
            </w:pPr>
          </w:p>
        </w:tc>
      </w:tr>
    </w:tbl>
    <w:p w14:paraId="2A72D9FD" w14:textId="77777777" w:rsidR="006A008F" w:rsidRPr="00070AB9" w:rsidRDefault="006A008F" w:rsidP="00E30C75">
      <w:pPr>
        <w:pStyle w:val="OBEBody"/>
        <w:rPr>
          <w:rFonts w:ascii="Times New Roman" w:eastAsia="Calibri" w:hAnsi="Times New Roman" w:cs="Times New Roman"/>
          <w:b/>
          <w:bCs/>
          <w:color w:val="000000" w:themeColor="text1"/>
          <w:shd w:val="clear" w:color="auto" w:fill="FFFFFF"/>
        </w:rPr>
      </w:pPr>
    </w:p>
    <w:p w14:paraId="03FBE7D3" w14:textId="38E328AD" w:rsidR="005D6393" w:rsidRPr="00070AB9" w:rsidRDefault="003725B8"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In order to see the </w:t>
      </w:r>
      <w:r w:rsidR="00EF68B5" w:rsidRPr="00070AB9">
        <w:rPr>
          <w:rFonts w:ascii="Times New Roman" w:eastAsia="Calibri" w:hAnsi="Times New Roman" w:cs="Times New Roman"/>
          <w:color w:val="000000" w:themeColor="text1"/>
          <w:kern w:val="2"/>
          <w:shd w:val="clear" w:color="auto" w:fill="FFFFFF"/>
        </w:rPr>
        <w:t>relationship between different categories of consumer goods and other macroeconomic variables (like GDP growth, unemployment rate, and consumer confidence index), one can use the cross</w:t>
      </w:r>
      <w:r w:rsidR="00285F09" w:rsidRPr="00070AB9">
        <w:rPr>
          <w:rFonts w:ascii="Times New Roman" w:eastAsia="Calibri" w:hAnsi="Times New Roman" w:cs="Times New Roman"/>
          <w:color w:val="000000" w:themeColor="text1"/>
          <w:kern w:val="2"/>
          <w:shd w:val="clear" w:color="auto" w:fill="FFFFFF"/>
        </w:rPr>
        <w:t>-</w:t>
      </w:r>
      <w:r w:rsidR="00EF68B5" w:rsidRPr="00070AB9">
        <w:rPr>
          <w:rFonts w:ascii="Times New Roman" w:eastAsia="Calibri" w:hAnsi="Times New Roman" w:cs="Times New Roman"/>
          <w:color w:val="000000" w:themeColor="text1"/>
          <w:kern w:val="2"/>
          <w:shd w:val="clear" w:color="auto" w:fill="FFFFFF"/>
        </w:rPr>
        <w:t xml:space="preserve">correlation coefficients. </w:t>
      </w:r>
      <w:r w:rsidR="005D6393" w:rsidRPr="00070AB9">
        <w:rPr>
          <w:rFonts w:ascii="Times New Roman" w:eastAsia="Calibri" w:hAnsi="Times New Roman" w:cs="Times New Roman"/>
          <w:color w:val="000000" w:themeColor="text1"/>
          <w:kern w:val="2"/>
          <w:shd w:val="clear" w:color="auto" w:fill="FFFFFF"/>
        </w:rPr>
        <w:t>Table 3 shows the relevant cross-correlation coefficients.</w:t>
      </w:r>
      <w:r w:rsidR="00980C0A" w:rsidRPr="00070AB9">
        <w:rPr>
          <w:rFonts w:ascii="Times New Roman" w:eastAsia="Calibri" w:hAnsi="Times New Roman" w:cs="Times New Roman"/>
          <w:color w:val="000000" w:themeColor="text1"/>
          <w:kern w:val="2"/>
          <w:shd w:val="clear" w:color="auto" w:fill="FFFFFF"/>
        </w:rPr>
        <w:t xml:space="preserve"> It is seen that furnishing expenditures have the highest correlation coefficient with both the GDP and the total household expenditures. This is followed by the categories of food and drink, miscellaneous, clothing and footwear, and alcohol and tobacco. </w:t>
      </w:r>
      <w:r w:rsidR="00914A36" w:rsidRPr="00070AB9">
        <w:rPr>
          <w:rFonts w:ascii="Times New Roman" w:eastAsia="Calibri" w:hAnsi="Times New Roman" w:cs="Times New Roman"/>
          <w:color w:val="000000" w:themeColor="text1"/>
          <w:kern w:val="2"/>
          <w:shd w:val="clear" w:color="auto" w:fill="FFFFFF"/>
        </w:rPr>
        <w:t>The positive cross-correlations coefficients for</w:t>
      </w:r>
      <w:r w:rsidR="00DD6FCC" w:rsidRPr="00070AB9">
        <w:rPr>
          <w:rFonts w:ascii="Times New Roman" w:eastAsia="Calibri" w:hAnsi="Times New Roman" w:cs="Times New Roman"/>
          <w:color w:val="000000" w:themeColor="text1"/>
          <w:kern w:val="2"/>
          <w:shd w:val="clear" w:color="auto" w:fill="FFFFFF"/>
        </w:rPr>
        <w:t xml:space="preserve"> the consumer goods categories, except for the </w:t>
      </w:r>
      <w:r w:rsidR="00DD6FCC" w:rsidRPr="00070AB9">
        <w:rPr>
          <w:rFonts w:ascii="Times New Roman" w:eastAsia="Calibri" w:hAnsi="Times New Roman" w:cs="Times New Roman"/>
          <w:color w:val="000000" w:themeColor="text1"/>
          <w:kern w:val="2"/>
          <w:shd w:val="clear" w:color="auto" w:fill="FFFFFF"/>
        </w:rPr>
        <w:lastRenderedPageBreak/>
        <w:t xml:space="preserve">alcohol and tobacco group, imply that </w:t>
      </w:r>
      <w:r w:rsidR="009B1B70" w:rsidRPr="00070AB9">
        <w:rPr>
          <w:rFonts w:ascii="Times New Roman" w:eastAsia="Calibri" w:hAnsi="Times New Roman" w:cs="Times New Roman"/>
          <w:color w:val="000000" w:themeColor="text1"/>
          <w:kern w:val="2"/>
          <w:shd w:val="clear" w:color="auto" w:fill="FFFFFF"/>
        </w:rPr>
        <w:t xml:space="preserve">income is a very important determinant of </w:t>
      </w:r>
      <w:r w:rsidR="008F7BE3" w:rsidRPr="00070AB9">
        <w:rPr>
          <w:rFonts w:ascii="Times New Roman" w:eastAsia="Calibri" w:hAnsi="Times New Roman" w:cs="Times New Roman"/>
          <w:color w:val="000000" w:themeColor="text1"/>
          <w:kern w:val="2"/>
          <w:shd w:val="clear" w:color="auto" w:fill="FFFFFF"/>
        </w:rPr>
        <w:t>consumer goods expenditures. In addition, all categories of consumer goods have negative correlation coefficients with the unemployment rate, implying that unemployment is negatively associated with consumer goods expenditures. The correlation is again highest (in absolu</w:t>
      </w:r>
      <w:r w:rsidR="00ED5241" w:rsidRPr="00070AB9">
        <w:rPr>
          <w:rFonts w:ascii="Times New Roman" w:eastAsia="Calibri" w:hAnsi="Times New Roman" w:cs="Times New Roman"/>
          <w:color w:val="000000" w:themeColor="text1"/>
          <w:kern w:val="2"/>
          <w:shd w:val="clear" w:color="auto" w:fill="FFFFFF"/>
        </w:rPr>
        <w:t>t</w:t>
      </w:r>
      <w:r w:rsidR="008F7BE3" w:rsidRPr="00070AB9">
        <w:rPr>
          <w:rFonts w:ascii="Times New Roman" w:eastAsia="Calibri" w:hAnsi="Times New Roman" w:cs="Times New Roman"/>
          <w:color w:val="000000" w:themeColor="text1"/>
          <w:kern w:val="2"/>
          <w:shd w:val="clear" w:color="auto" w:fill="FFFFFF"/>
        </w:rPr>
        <w:t xml:space="preserve">e value) for furnishings, followed by </w:t>
      </w:r>
      <w:r w:rsidR="00ED5241" w:rsidRPr="00070AB9">
        <w:rPr>
          <w:rFonts w:ascii="Times New Roman" w:eastAsia="Calibri" w:hAnsi="Times New Roman" w:cs="Times New Roman"/>
          <w:color w:val="000000" w:themeColor="text1"/>
          <w:kern w:val="2"/>
          <w:shd w:val="clear" w:color="auto" w:fill="FFFFFF"/>
        </w:rPr>
        <w:t xml:space="preserve">miscellaneous, and the food and drink sector. </w:t>
      </w:r>
      <w:r w:rsidR="00BA6ADC" w:rsidRPr="00070AB9">
        <w:rPr>
          <w:rFonts w:ascii="Times New Roman" w:eastAsia="Calibri" w:hAnsi="Times New Roman" w:cs="Times New Roman"/>
          <w:color w:val="000000" w:themeColor="text1"/>
          <w:kern w:val="2"/>
          <w:shd w:val="clear" w:color="auto" w:fill="FFFFFF"/>
        </w:rPr>
        <w:t xml:space="preserve">Finally, all categories of the consumer goods sector have positive correlations with the consumer confidence level. Overall, these results are in line with the expectations that demand factors (like income and employment) and confidence would affect the household expenditures on consumer goods positively. </w:t>
      </w:r>
    </w:p>
    <w:tbl>
      <w:tblPr>
        <w:tblStyle w:val="TableGrid"/>
        <w:tblW w:w="0" w:type="auto"/>
        <w:tblLook w:val="04A0" w:firstRow="1" w:lastRow="0" w:firstColumn="1" w:lastColumn="0" w:noHBand="0" w:noVBand="1"/>
      </w:tblPr>
      <w:tblGrid>
        <w:gridCol w:w="9016"/>
      </w:tblGrid>
      <w:tr w:rsidR="00070AB9" w:rsidRPr="00070AB9" w14:paraId="7890285E" w14:textId="77777777" w:rsidTr="00D032C9">
        <w:tc>
          <w:tcPr>
            <w:tcW w:w="9016" w:type="dxa"/>
          </w:tcPr>
          <w:p w14:paraId="3D68CD13" w14:textId="7696A15F" w:rsidR="00D032C9" w:rsidRPr="00070AB9" w:rsidRDefault="00D032C9"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Table 3: Cross-correlations between Consumer Goods Categories and Macro Variables</w:t>
            </w:r>
          </w:p>
        </w:tc>
      </w:tr>
      <w:tr w:rsidR="00D032C9" w:rsidRPr="00070AB9" w14:paraId="65B38E0C" w14:textId="77777777" w:rsidTr="00D032C9">
        <w:tc>
          <w:tcPr>
            <w:tcW w:w="9016" w:type="dxa"/>
          </w:tcPr>
          <w:tbl>
            <w:tblPr>
              <w:tblW w:w="9708" w:type="dxa"/>
              <w:tblLook w:val="04A0" w:firstRow="1" w:lastRow="0" w:firstColumn="1" w:lastColumn="0" w:noHBand="0" w:noVBand="1"/>
            </w:tblPr>
            <w:tblGrid>
              <w:gridCol w:w="3342"/>
              <w:gridCol w:w="1114"/>
              <w:gridCol w:w="1023"/>
              <w:gridCol w:w="1092"/>
              <w:gridCol w:w="1118"/>
              <w:gridCol w:w="1111"/>
            </w:tblGrid>
            <w:tr w:rsidR="00070AB9" w:rsidRPr="00070AB9" w14:paraId="54D3FE5E" w14:textId="77777777" w:rsidTr="00D032C9">
              <w:trPr>
                <w:trHeight w:val="267"/>
              </w:trPr>
              <w:tc>
                <w:tcPr>
                  <w:tcW w:w="3720" w:type="dxa"/>
                  <w:tcBorders>
                    <w:top w:val="single" w:sz="8" w:space="0" w:color="auto"/>
                    <w:left w:val="nil"/>
                    <w:bottom w:val="single" w:sz="12" w:space="0" w:color="auto"/>
                    <w:right w:val="nil"/>
                  </w:tcBorders>
                  <w:shd w:val="clear" w:color="auto" w:fill="auto"/>
                  <w:noWrap/>
                  <w:vAlign w:val="bottom"/>
                  <w:hideMark/>
                </w:tcPr>
                <w:p w14:paraId="1C9EA59A" w14:textId="77777777" w:rsidR="00D032C9" w:rsidRPr="00070AB9" w:rsidRDefault="00D032C9" w:rsidP="00D032C9">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 </w:t>
                  </w:r>
                </w:p>
              </w:tc>
              <w:tc>
                <w:tcPr>
                  <w:tcW w:w="1223" w:type="dxa"/>
                  <w:tcBorders>
                    <w:top w:val="single" w:sz="8" w:space="0" w:color="auto"/>
                    <w:left w:val="nil"/>
                    <w:bottom w:val="single" w:sz="12" w:space="0" w:color="auto"/>
                    <w:right w:val="nil"/>
                  </w:tcBorders>
                  <w:shd w:val="clear" w:color="auto" w:fill="auto"/>
                  <w:noWrap/>
                  <w:vAlign w:val="center"/>
                  <w:hideMark/>
                </w:tcPr>
                <w:p w14:paraId="0D43CD8E" w14:textId="6B6BA942" w:rsidR="00D032C9" w:rsidRPr="00070AB9" w:rsidRDefault="00D032C9" w:rsidP="00D032C9">
                  <w:pPr>
                    <w:spacing w:after="0" w:line="240" w:lineRule="auto"/>
                    <w:jc w:val="center"/>
                    <w:rPr>
                      <w:rFonts w:ascii="Times New Roman" w:eastAsia="Times New Roman" w:hAnsi="Times New Roman" w:cs="Times New Roman"/>
                      <w:b/>
                      <w:bCs/>
                      <w:color w:val="000000" w:themeColor="text1"/>
                      <w:sz w:val="20"/>
                      <w:lang w:eastAsia="en-GB"/>
                    </w:rPr>
                  </w:pPr>
                  <w:r w:rsidRPr="00070AB9">
                    <w:rPr>
                      <w:rFonts w:ascii="Times New Roman" w:eastAsia="Times New Roman" w:hAnsi="Times New Roman" w:cs="Times New Roman"/>
                      <w:b/>
                      <w:bCs/>
                      <w:color w:val="000000" w:themeColor="text1"/>
                      <w:sz w:val="20"/>
                      <w:lang w:eastAsia="en-GB"/>
                    </w:rPr>
                    <w:t xml:space="preserve">Food and drink </w:t>
                  </w:r>
                </w:p>
              </w:tc>
              <w:tc>
                <w:tcPr>
                  <w:tcW w:w="1121" w:type="dxa"/>
                  <w:tcBorders>
                    <w:top w:val="single" w:sz="8" w:space="0" w:color="auto"/>
                    <w:left w:val="nil"/>
                    <w:bottom w:val="single" w:sz="12" w:space="0" w:color="auto"/>
                    <w:right w:val="nil"/>
                  </w:tcBorders>
                  <w:shd w:val="clear" w:color="auto" w:fill="auto"/>
                  <w:noWrap/>
                  <w:vAlign w:val="center"/>
                  <w:hideMark/>
                </w:tcPr>
                <w:p w14:paraId="7D31746F" w14:textId="780EDB90" w:rsidR="00D032C9" w:rsidRPr="00070AB9" w:rsidRDefault="00D032C9" w:rsidP="00D032C9">
                  <w:pPr>
                    <w:spacing w:after="0" w:line="240" w:lineRule="auto"/>
                    <w:jc w:val="center"/>
                    <w:rPr>
                      <w:rFonts w:ascii="Times New Roman" w:eastAsia="Times New Roman" w:hAnsi="Times New Roman" w:cs="Times New Roman"/>
                      <w:b/>
                      <w:bCs/>
                      <w:color w:val="000000" w:themeColor="text1"/>
                      <w:sz w:val="20"/>
                      <w:lang w:eastAsia="en-GB"/>
                    </w:rPr>
                  </w:pPr>
                  <w:r w:rsidRPr="00070AB9">
                    <w:rPr>
                      <w:rFonts w:ascii="Times New Roman" w:eastAsia="Times New Roman" w:hAnsi="Times New Roman" w:cs="Times New Roman"/>
                      <w:b/>
                      <w:bCs/>
                      <w:color w:val="000000" w:themeColor="text1"/>
                      <w:sz w:val="20"/>
                      <w:lang w:eastAsia="en-GB"/>
                    </w:rPr>
                    <w:t xml:space="preserve">Alcohol and tobacco </w:t>
                  </w:r>
                </w:p>
              </w:tc>
              <w:tc>
                <w:tcPr>
                  <w:tcW w:w="1198" w:type="dxa"/>
                  <w:tcBorders>
                    <w:top w:val="single" w:sz="8" w:space="0" w:color="auto"/>
                    <w:left w:val="nil"/>
                    <w:bottom w:val="single" w:sz="12" w:space="0" w:color="auto"/>
                    <w:right w:val="nil"/>
                  </w:tcBorders>
                  <w:shd w:val="clear" w:color="auto" w:fill="auto"/>
                  <w:noWrap/>
                  <w:vAlign w:val="center"/>
                  <w:hideMark/>
                </w:tcPr>
                <w:p w14:paraId="6D4CBAD6" w14:textId="4A77EC49" w:rsidR="00D032C9" w:rsidRPr="00070AB9" w:rsidRDefault="00D032C9" w:rsidP="00D032C9">
                  <w:pPr>
                    <w:spacing w:after="0" w:line="240" w:lineRule="auto"/>
                    <w:jc w:val="center"/>
                    <w:rPr>
                      <w:rFonts w:ascii="Times New Roman" w:eastAsia="Times New Roman" w:hAnsi="Times New Roman" w:cs="Times New Roman"/>
                      <w:b/>
                      <w:bCs/>
                      <w:color w:val="000000" w:themeColor="text1"/>
                      <w:sz w:val="20"/>
                      <w:lang w:eastAsia="en-GB"/>
                    </w:rPr>
                  </w:pPr>
                  <w:r w:rsidRPr="00070AB9">
                    <w:rPr>
                      <w:rFonts w:ascii="Times New Roman" w:eastAsia="Times New Roman" w:hAnsi="Times New Roman" w:cs="Times New Roman"/>
                      <w:b/>
                      <w:bCs/>
                      <w:color w:val="000000" w:themeColor="text1"/>
                      <w:sz w:val="20"/>
                      <w:lang w:eastAsia="en-GB"/>
                    </w:rPr>
                    <w:t>Clothing and footwear</w:t>
                  </w:r>
                </w:p>
              </w:tc>
              <w:tc>
                <w:tcPr>
                  <w:tcW w:w="1227" w:type="dxa"/>
                  <w:tcBorders>
                    <w:top w:val="single" w:sz="8" w:space="0" w:color="auto"/>
                    <w:left w:val="nil"/>
                    <w:bottom w:val="single" w:sz="12" w:space="0" w:color="auto"/>
                    <w:right w:val="nil"/>
                  </w:tcBorders>
                  <w:shd w:val="clear" w:color="auto" w:fill="auto"/>
                  <w:noWrap/>
                  <w:vAlign w:val="center"/>
                  <w:hideMark/>
                </w:tcPr>
                <w:p w14:paraId="33A88EF7" w14:textId="6932D0BB" w:rsidR="00D032C9" w:rsidRPr="00070AB9" w:rsidRDefault="00D032C9" w:rsidP="00D032C9">
                  <w:pPr>
                    <w:spacing w:after="0" w:line="240" w:lineRule="auto"/>
                    <w:jc w:val="center"/>
                    <w:rPr>
                      <w:rFonts w:ascii="Times New Roman" w:eastAsia="Times New Roman" w:hAnsi="Times New Roman" w:cs="Times New Roman"/>
                      <w:b/>
                      <w:bCs/>
                      <w:color w:val="000000" w:themeColor="text1"/>
                      <w:sz w:val="20"/>
                      <w:lang w:eastAsia="en-GB"/>
                    </w:rPr>
                  </w:pPr>
                  <w:r w:rsidRPr="00070AB9">
                    <w:rPr>
                      <w:rFonts w:ascii="Times New Roman" w:eastAsia="Times New Roman" w:hAnsi="Times New Roman" w:cs="Times New Roman"/>
                      <w:b/>
                      <w:bCs/>
                      <w:color w:val="000000" w:themeColor="text1"/>
                      <w:sz w:val="20"/>
                      <w:lang w:eastAsia="en-GB"/>
                    </w:rPr>
                    <w:t>Furnishing</w:t>
                  </w:r>
                </w:p>
              </w:tc>
              <w:tc>
                <w:tcPr>
                  <w:tcW w:w="1219" w:type="dxa"/>
                  <w:tcBorders>
                    <w:top w:val="single" w:sz="8" w:space="0" w:color="auto"/>
                    <w:left w:val="nil"/>
                    <w:bottom w:val="single" w:sz="12" w:space="0" w:color="auto"/>
                    <w:right w:val="nil"/>
                  </w:tcBorders>
                  <w:shd w:val="clear" w:color="auto" w:fill="auto"/>
                  <w:noWrap/>
                  <w:vAlign w:val="center"/>
                  <w:hideMark/>
                </w:tcPr>
                <w:p w14:paraId="648170DF" w14:textId="47ECAE0C" w:rsidR="00D032C9" w:rsidRPr="00070AB9" w:rsidRDefault="00D032C9" w:rsidP="00D032C9">
                  <w:pPr>
                    <w:spacing w:after="0" w:line="240" w:lineRule="auto"/>
                    <w:jc w:val="center"/>
                    <w:rPr>
                      <w:rFonts w:ascii="Times New Roman" w:eastAsia="Times New Roman" w:hAnsi="Times New Roman" w:cs="Times New Roman"/>
                      <w:b/>
                      <w:bCs/>
                      <w:color w:val="000000" w:themeColor="text1"/>
                      <w:sz w:val="20"/>
                      <w:lang w:eastAsia="en-GB"/>
                    </w:rPr>
                  </w:pPr>
                  <w:r w:rsidRPr="00070AB9">
                    <w:rPr>
                      <w:rFonts w:ascii="Times New Roman" w:eastAsia="Times New Roman" w:hAnsi="Times New Roman" w:cs="Times New Roman"/>
                      <w:b/>
                      <w:bCs/>
                      <w:color w:val="000000" w:themeColor="text1"/>
                      <w:sz w:val="20"/>
                      <w:lang w:eastAsia="en-GB"/>
                    </w:rPr>
                    <w:t xml:space="preserve">Misc. </w:t>
                  </w:r>
                </w:p>
              </w:tc>
            </w:tr>
            <w:tr w:rsidR="00070AB9" w:rsidRPr="00070AB9" w14:paraId="4BAC3265" w14:textId="77777777" w:rsidTr="00D032C9">
              <w:trPr>
                <w:trHeight w:val="267"/>
              </w:trPr>
              <w:tc>
                <w:tcPr>
                  <w:tcW w:w="3720" w:type="dxa"/>
                  <w:tcBorders>
                    <w:top w:val="nil"/>
                    <w:left w:val="nil"/>
                    <w:bottom w:val="nil"/>
                    <w:right w:val="nil"/>
                  </w:tcBorders>
                  <w:shd w:val="clear" w:color="auto" w:fill="auto"/>
                  <w:noWrap/>
                  <w:vAlign w:val="bottom"/>
                  <w:hideMark/>
                </w:tcPr>
                <w:p w14:paraId="63D23071" w14:textId="77777777" w:rsidR="00D032C9" w:rsidRPr="00070AB9" w:rsidRDefault="00D032C9" w:rsidP="00D032C9">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Total HH expenditures (% Growth)</w:t>
                  </w:r>
                </w:p>
              </w:tc>
              <w:tc>
                <w:tcPr>
                  <w:tcW w:w="1223" w:type="dxa"/>
                  <w:tcBorders>
                    <w:top w:val="nil"/>
                    <w:left w:val="nil"/>
                    <w:bottom w:val="nil"/>
                    <w:right w:val="nil"/>
                  </w:tcBorders>
                  <w:shd w:val="clear" w:color="auto" w:fill="auto"/>
                  <w:noWrap/>
                  <w:vAlign w:val="bottom"/>
                  <w:hideMark/>
                </w:tcPr>
                <w:p w14:paraId="11994628"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0.58</w:t>
                  </w:r>
                </w:p>
              </w:tc>
              <w:tc>
                <w:tcPr>
                  <w:tcW w:w="1121" w:type="dxa"/>
                  <w:tcBorders>
                    <w:top w:val="nil"/>
                    <w:left w:val="nil"/>
                    <w:bottom w:val="nil"/>
                    <w:right w:val="nil"/>
                  </w:tcBorders>
                  <w:shd w:val="clear" w:color="auto" w:fill="auto"/>
                  <w:noWrap/>
                  <w:vAlign w:val="bottom"/>
                  <w:hideMark/>
                </w:tcPr>
                <w:p w14:paraId="40251D9C"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0.06</w:t>
                  </w:r>
                </w:p>
              </w:tc>
              <w:tc>
                <w:tcPr>
                  <w:tcW w:w="1198" w:type="dxa"/>
                  <w:tcBorders>
                    <w:top w:val="nil"/>
                    <w:left w:val="nil"/>
                    <w:bottom w:val="nil"/>
                    <w:right w:val="nil"/>
                  </w:tcBorders>
                  <w:shd w:val="clear" w:color="auto" w:fill="auto"/>
                  <w:noWrap/>
                  <w:vAlign w:val="bottom"/>
                  <w:hideMark/>
                </w:tcPr>
                <w:p w14:paraId="6AEDC289"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0.23</w:t>
                  </w:r>
                </w:p>
              </w:tc>
              <w:tc>
                <w:tcPr>
                  <w:tcW w:w="1227" w:type="dxa"/>
                  <w:tcBorders>
                    <w:top w:val="nil"/>
                    <w:left w:val="nil"/>
                    <w:bottom w:val="nil"/>
                    <w:right w:val="nil"/>
                  </w:tcBorders>
                  <w:shd w:val="clear" w:color="auto" w:fill="auto"/>
                  <w:noWrap/>
                  <w:vAlign w:val="bottom"/>
                  <w:hideMark/>
                </w:tcPr>
                <w:p w14:paraId="3E4CEBF1"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0.74</w:t>
                  </w:r>
                </w:p>
              </w:tc>
              <w:tc>
                <w:tcPr>
                  <w:tcW w:w="1219" w:type="dxa"/>
                  <w:tcBorders>
                    <w:top w:val="nil"/>
                    <w:left w:val="nil"/>
                    <w:bottom w:val="nil"/>
                    <w:right w:val="nil"/>
                  </w:tcBorders>
                  <w:shd w:val="clear" w:color="auto" w:fill="auto"/>
                  <w:noWrap/>
                  <w:vAlign w:val="bottom"/>
                  <w:hideMark/>
                </w:tcPr>
                <w:p w14:paraId="2804653A"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0.52</w:t>
                  </w:r>
                </w:p>
              </w:tc>
            </w:tr>
            <w:tr w:rsidR="00070AB9" w:rsidRPr="00070AB9" w14:paraId="4193857D" w14:textId="77777777" w:rsidTr="00D032C9">
              <w:trPr>
                <w:trHeight w:val="256"/>
              </w:trPr>
              <w:tc>
                <w:tcPr>
                  <w:tcW w:w="3720" w:type="dxa"/>
                  <w:tcBorders>
                    <w:top w:val="nil"/>
                    <w:left w:val="nil"/>
                    <w:bottom w:val="nil"/>
                    <w:right w:val="nil"/>
                  </w:tcBorders>
                  <w:shd w:val="clear" w:color="auto" w:fill="auto"/>
                  <w:noWrap/>
                  <w:vAlign w:val="bottom"/>
                  <w:hideMark/>
                </w:tcPr>
                <w:p w14:paraId="28161BBE" w14:textId="77777777" w:rsidR="00D032C9" w:rsidRPr="00070AB9" w:rsidRDefault="00D032C9" w:rsidP="00D032C9">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GDP (% Growth)</w:t>
                  </w:r>
                </w:p>
              </w:tc>
              <w:tc>
                <w:tcPr>
                  <w:tcW w:w="1223" w:type="dxa"/>
                  <w:tcBorders>
                    <w:top w:val="nil"/>
                    <w:left w:val="nil"/>
                    <w:bottom w:val="nil"/>
                    <w:right w:val="nil"/>
                  </w:tcBorders>
                  <w:shd w:val="clear" w:color="auto" w:fill="auto"/>
                  <w:noWrap/>
                  <w:vAlign w:val="bottom"/>
                  <w:hideMark/>
                </w:tcPr>
                <w:p w14:paraId="733313B3"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0.49</w:t>
                  </w:r>
                </w:p>
              </w:tc>
              <w:tc>
                <w:tcPr>
                  <w:tcW w:w="1121" w:type="dxa"/>
                  <w:tcBorders>
                    <w:top w:val="nil"/>
                    <w:left w:val="nil"/>
                    <w:bottom w:val="nil"/>
                    <w:right w:val="nil"/>
                  </w:tcBorders>
                  <w:shd w:val="clear" w:color="auto" w:fill="auto"/>
                  <w:noWrap/>
                  <w:vAlign w:val="bottom"/>
                  <w:hideMark/>
                </w:tcPr>
                <w:p w14:paraId="0987A567"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0.05</w:t>
                  </w:r>
                </w:p>
              </w:tc>
              <w:tc>
                <w:tcPr>
                  <w:tcW w:w="1198" w:type="dxa"/>
                  <w:tcBorders>
                    <w:top w:val="nil"/>
                    <w:left w:val="nil"/>
                    <w:bottom w:val="nil"/>
                    <w:right w:val="nil"/>
                  </w:tcBorders>
                  <w:shd w:val="clear" w:color="auto" w:fill="auto"/>
                  <w:noWrap/>
                  <w:vAlign w:val="bottom"/>
                  <w:hideMark/>
                </w:tcPr>
                <w:p w14:paraId="33E11F22"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0.12</w:t>
                  </w:r>
                </w:p>
              </w:tc>
              <w:tc>
                <w:tcPr>
                  <w:tcW w:w="1227" w:type="dxa"/>
                  <w:tcBorders>
                    <w:top w:val="nil"/>
                    <w:left w:val="nil"/>
                    <w:bottom w:val="nil"/>
                    <w:right w:val="nil"/>
                  </w:tcBorders>
                  <w:shd w:val="clear" w:color="auto" w:fill="auto"/>
                  <w:noWrap/>
                  <w:vAlign w:val="bottom"/>
                  <w:hideMark/>
                </w:tcPr>
                <w:p w14:paraId="5E743676"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0.68</w:t>
                  </w:r>
                </w:p>
              </w:tc>
              <w:tc>
                <w:tcPr>
                  <w:tcW w:w="1219" w:type="dxa"/>
                  <w:tcBorders>
                    <w:top w:val="nil"/>
                    <w:left w:val="nil"/>
                    <w:bottom w:val="nil"/>
                    <w:right w:val="nil"/>
                  </w:tcBorders>
                  <w:shd w:val="clear" w:color="auto" w:fill="auto"/>
                  <w:noWrap/>
                  <w:vAlign w:val="bottom"/>
                  <w:hideMark/>
                </w:tcPr>
                <w:p w14:paraId="2B5A4847"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0.43</w:t>
                  </w:r>
                </w:p>
              </w:tc>
            </w:tr>
            <w:tr w:rsidR="00070AB9" w:rsidRPr="00070AB9" w14:paraId="44E4F9AF" w14:textId="77777777" w:rsidTr="00D032C9">
              <w:trPr>
                <w:trHeight w:val="256"/>
              </w:trPr>
              <w:tc>
                <w:tcPr>
                  <w:tcW w:w="3720" w:type="dxa"/>
                  <w:tcBorders>
                    <w:top w:val="nil"/>
                    <w:left w:val="nil"/>
                    <w:bottom w:val="nil"/>
                    <w:right w:val="nil"/>
                  </w:tcBorders>
                  <w:shd w:val="clear" w:color="auto" w:fill="auto"/>
                  <w:noWrap/>
                  <w:vAlign w:val="bottom"/>
                  <w:hideMark/>
                </w:tcPr>
                <w:p w14:paraId="5374E101" w14:textId="77777777" w:rsidR="00D032C9" w:rsidRPr="00070AB9" w:rsidRDefault="00D032C9" w:rsidP="00D032C9">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Unemployment Rate (%)</w:t>
                  </w:r>
                </w:p>
              </w:tc>
              <w:tc>
                <w:tcPr>
                  <w:tcW w:w="1223" w:type="dxa"/>
                  <w:tcBorders>
                    <w:top w:val="nil"/>
                    <w:left w:val="nil"/>
                    <w:bottom w:val="nil"/>
                    <w:right w:val="nil"/>
                  </w:tcBorders>
                  <w:shd w:val="clear" w:color="auto" w:fill="auto"/>
                  <w:noWrap/>
                  <w:vAlign w:val="bottom"/>
                  <w:hideMark/>
                </w:tcPr>
                <w:p w14:paraId="45E8BFFA"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-0.34</w:t>
                  </w:r>
                </w:p>
              </w:tc>
              <w:tc>
                <w:tcPr>
                  <w:tcW w:w="1121" w:type="dxa"/>
                  <w:tcBorders>
                    <w:top w:val="nil"/>
                    <w:left w:val="nil"/>
                    <w:bottom w:val="nil"/>
                    <w:right w:val="nil"/>
                  </w:tcBorders>
                  <w:shd w:val="clear" w:color="auto" w:fill="auto"/>
                  <w:noWrap/>
                  <w:vAlign w:val="bottom"/>
                  <w:hideMark/>
                </w:tcPr>
                <w:p w14:paraId="0D19A0C8"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-0.22</w:t>
                  </w:r>
                </w:p>
              </w:tc>
              <w:tc>
                <w:tcPr>
                  <w:tcW w:w="1198" w:type="dxa"/>
                  <w:tcBorders>
                    <w:top w:val="nil"/>
                    <w:left w:val="nil"/>
                    <w:bottom w:val="nil"/>
                    <w:right w:val="nil"/>
                  </w:tcBorders>
                  <w:shd w:val="clear" w:color="auto" w:fill="auto"/>
                  <w:noWrap/>
                  <w:vAlign w:val="bottom"/>
                  <w:hideMark/>
                </w:tcPr>
                <w:p w14:paraId="2B39CCA8"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-0.15</w:t>
                  </w:r>
                </w:p>
              </w:tc>
              <w:tc>
                <w:tcPr>
                  <w:tcW w:w="1227" w:type="dxa"/>
                  <w:tcBorders>
                    <w:top w:val="nil"/>
                    <w:left w:val="nil"/>
                    <w:bottom w:val="nil"/>
                    <w:right w:val="nil"/>
                  </w:tcBorders>
                  <w:shd w:val="clear" w:color="auto" w:fill="auto"/>
                  <w:noWrap/>
                  <w:vAlign w:val="bottom"/>
                  <w:hideMark/>
                </w:tcPr>
                <w:p w14:paraId="636D251E"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-0.55</w:t>
                  </w:r>
                </w:p>
              </w:tc>
              <w:tc>
                <w:tcPr>
                  <w:tcW w:w="1219" w:type="dxa"/>
                  <w:tcBorders>
                    <w:top w:val="nil"/>
                    <w:left w:val="nil"/>
                    <w:bottom w:val="nil"/>
                    <w:right w:val="nil"/>
                  </w:tcBorders>
                  <w:shd w:val="clear" w:color="auto" w:fill="auto"/>
                  <w:noWrap/>
                  <w:vAlign w:val="bottom"/>
                  <w:hideMark/>
                </w:tcPr>
                <w:p w14:paraId="6D35D2CD"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-0.50</w:t>
                  </w:r>
                </w:p>
              </w:tc>
            </w:tr>
            <w:tr w:rsidR="00070AB9" w:rsidRPr="00070AB9" w14:paraId="03C879FC" w14:textId="77777777" w:rsidTr="00D032C9">
              <w:trPr>
                <w:trHeight w:val="267"/>
              </w:trPr>
              <w:tc>
                <w:tcPr>
                  <w:tcW w:w="3720" w:type="dxa"/>
                  <w:tcBorders>
                    <w:top w:val="nil"/>
                    <w:left w:val="nil"/>
                    <w:bottom w:val="single" w:sz="12" w:space="0" w:color="auto"/>
                    <w:right w:val="nil"/>
                  </w:tcBorders>
                  <w:shd w:val="clear" w:color="auto" w:fill="auto"/>
                  <w:noWrap/>
                  <w:vAlign w:val="bottom"/>
                  <w:hideMark/>
                </w:tcPr>
                <w:p w14:paraId="1F4B881E" w14:textId="77777777" w:rsidR="00D032C9" w:rsidRPr="00070AB9" w:rsidRDefault="00D032C9" w:rsidP="00D032C9">
                  <w:pPr>
                    <w:spacing w:after="0" w:line="240" w:lineRule="auto"/>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Consumer Confidence Index</w:t>
                  </w:r>
                </w:p>
              </w:tc>
              <w:tc>
                <w:tcPr>
                  <w:tcW w:w="1223" w:type="dxa"/>
                  <w:tcBorders>
                    <w:top w:val="nil"/>
                    <w:left w:val="nil"/>
                    <w:bottom w:val="single" w:sz="12" w:space="0" w:color="auto"/>
                    <w:right w:val="nil"/>
                  </w:tcBorders>
                  <w:shd w:val="clear" w:color="auto" w:fill="auto"/>
                  <w:noWrap/>
                  <w:vAlign w:val="bottom"/>
                  <w:hideMark/>
                </w:tcPr>
                <w:p w14:paraId="2FB19CB3"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0.46</w:t>
                  </w:r>
                </w:p>
              </w:tc>
              <w:tc>
                <w:tcPr>
                  <w:tcW w:w="1121" w:type="dxa"/>
                  <w:tcBorders>
                    <w:top w:val="nil"/>
                    <w:left w:val="nil"/>
                    <w:bottom w:val="single" w:sz="12" w:space="0" w:color="auto"/>
                    <w:right w:val="nil"/>
                  </w:tcBorders>
                  <w:shd w:val="clear" w:color="auto" w:fill="auto"/>
                  <w:noWrap/>
                  <w:vAlign w:val="bottom"/>
                  <w:hideMark/>
                </w:tcPr>
                <w:p w14:paraId="4BD5428A"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0.09</w:t>
                  </w:r>
                </w:p>
              </w:tc>
              <w:tc>
                <w:tcPr>
                  <w:tcW w:w="1198" w:type="dxa"/>
                  <w:tcBorders>
                    <w:top w:val="nil"/>
                    <w:left w:val="nil"/>
                    <w:bottom w:val="single" w:sz="12" w:space="0" w:color="auto"/>
                    <w:right w:val="nil"/>
                  </w:tcBorders>
                  <w:shd w:val="clear" w:color="auto" w:fill="auto"/>
                  <w:noWrap/>
                  <w:vAlign w:val="bottom"/>
                  <w:hideMark/>
                </w:tcPr>
                <w:p w14:paraId="4F6674DC"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0.34</w:t>
                  </w:r>
                </w:p>
              </w:tc>
              <w:tc>
                <w:tcPr>
                  <w:tcW w:w="1227" w:type="dxa"/>
                  <w:tcBorders>
                    <w:top w:val="nil"/>
                    <w:left w:val="nil"/>
                    <w:bottom w:val="single" w:sz="12" w:space="0" w:color="auto"/>
                    <w:right w:val="nil"/>
                  </w:tcBorders>
                  <w:shd w:val="clear" w:color="auto" w:fill="auto"/>
                  <w:noWrap/>
                  <w:vAlign w:val="bottom"/>
                  <w:hideMark/>
                </w:tcPr>
                <w:p w14:paraId="289DF5C3"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0.75</w:t>
                  </w:r>
                </w:p>
              </w:tc>
              <w:tc>
                <w:tcPr>
                  <w:tcW w:w="1219" w:type="dxa"/>
                  <w:tcBorders>
                    <w:top w:val="nil"/>
                    <w:left w:val="nil"/>
                    <w:bottom w:val="single" w:sz="12" w:space="0" w:color="auto"/>
                    <w:right w:val="nil"/>
                  </w:tcBorders>
                  <w:shd w:val="clear" w:color="auto" w:fill="auto"/>
                  <w:noWrap/>
                  <w:vAlign w:val="bottom"/>
                  <w:hideMark/>
                </w:tcPr>
                <w:p w14:paraId="4EEA0B83" w14:textId="77777777" w:rsidR="00D032C9" w:rsidRPr="00070AB9" w:rsidRDefault="00D032C9" w:rsidP="00D032C9">
                  <w:pPr>
                    <w:spacing w:after="0" w:line="240" w:lineRule="auto"/>
                    <w:jc w:val="center"/>
                    <w:rPr>
                      <w:rFonts w:ascii="Times New Roman" w:eastAsia="Times New Roman" w:hAnsi="Times New Roman" w:cs="Times New Roman"/>
                      <w:b/>
                      <w:bCs/>
                      <w:color w:val="000000" w:themeColor="text1"/>
                      <w:lang w:eastAsia="en-GB"/>
                    </w:rPr>
                  </w:pPr>
                  <w:r w:rsidRPr="00070AB9">
                    <w:rPr>
                      <w:rFonts w:ascii="Times New Roman" w:eastAsia="Times New Roman" w:hAnsi="Times New Roman" w:cs="Times New Roman"/>
                      <w:b/>
                      <w:bCs/>
                      <w:color w:val="000000" w:themeColor="text1"/>
                      <w:lang w:eastAsia="en-GB"/>
                    </w:rPr>
                    <w:t>0.61</w:t>
                  </w:r>
                </w:p>
              </w:tc>
            </w:tr>
          </w:tbl>
          <w:p w14:paraId="4D698F84" w14:textId="77777777" w:rsidR="00D032C9" w:rsidRPr="00070AB9" w:rsidRDefault="00D032C9" w:rsidP="00310550">
            <w:pPr>
              <w:pStyle w:val="OBEBody"/>
              <w:rPr>
                <w:rFonts w:ascii="Times New Roman" w:eastAsia="Calibri" w:hAnsi="Times New Roman" w:cs="Times New Roman"/>
                <w:b/>
                <w:bCs/>
                <w:color w:val="000000" w:themeColor="text1"/>
                <w:kern w:val="2"/>
                <w:shd w:val="clear" w:color="auto" w:fill="FFFFFF"/>
              </w:rPr>
            </w:pPr>
          </w:p>
        </w:tc>
      </w:tr>
    </w:tbl>
    <w:p w14:paraId="0D4B42C4" w14:textId="77777777" w:rsidR="005D6393" w:rsidRPr="00070AB9" w:rsidRDefault="005D6393" w:rsidP="00310550">
      <w:pPr>
        <w:pStyle w:val="OBEBody"/>
        <w:rPr>
          <w:rFonts w:ascii="Times New Roman" w:eastAsia="Calibri" w:hAnsi="Times New Roman" w:cs="Times New Roman"/>
          <w:b/>
          <w:bCs/>
          <w:color w:val="000000" w:themeColor="text1"/>
          <w:kern w:val="2"/>
          <w:shd w:val="clear" w:color="auto" w:fill="FFFFFF"/>
        </w:rPr>
      </w:pPr>
    </w:p>
    <w:p w14:paraId="2AB3E26A" w14:textId="3F7FB96C" w:rsidR="00285F09" w:rsidRPr="00070AB9" w:rsidRDefault="007B0358" w:rsidP="00310550">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As the last part of the quantitative analysis, OLS regression models are estimated to check the multivariate relatio</w:t>
      </w:r>
      <w:r w:rsidR="00B67581" w:rsidRPr="00070AB9">
        <w:rPr>
          <w:rFonts w:ascii="Times New Roman" w:eastAsia="Calibri" w:hAnsi="Times New Roman" w:cs="Times New Roman"/>
          <w:color w:val="000000" w:themeColor="text1"/>
          <w:kern w:val="2"/>
          <w:shd w:val="clear" w:color="auto" w:fill="FFFFFF"/>
        </w:rPr>
        <w:t>n</w:t>
      </w:r>
      <w:r w:rsidRPr="00070AB9">
        <w:rPr>
          <w:rFonts w:ascii="Times New Roman" w:eastAsia="Calibri" w:hAnsi="Times New Roman" w:cs="Times New Roman"/>
          <w:color w:val="000000" w:themeColor="text1"/>
          <w:kern w:val="2"/>
          <w:shd w:val="clear" w:color="auto" w:fill="FFFFFF"/>
        </w:rPr>
        <w:t xml:space="preserve">ships for the consumer goods categories. </w:t>
      </w:r>
      <w:r w:rsidR="00B67581" w:rsidRPr="00070AB9">
        <w:rPr>
          <w:rFonts w:ascii="Times New Roman" w:eastAsia="Calibri" w:hAnsi="Times New Roman" w:cs="Times New Roman"/>
          <w:color w:val="000000" w:themeColor="text1"/>
          <w:kern w:val="2"/>
          <w:shd w:val="clear" w:color="auto" w:fill="FFFFFF"/>
        </w:rPr>
        <w:t>Table 4 presents the relevant results for the total consumer goods sector.</w:t>
      </w:r>
      <w:r w:rsidR="000236C9" w:rsidRPr="00070AB9">
        <w:rPr>
          <w:rFonts w:ascii="Times New Roman" w:eastAsia="Calibri" w:hAnsi="Times New Roman" w:cs="Times New Roman"/>
          <w:color w:val="000000" w:themeColor="text1"/>
          <w:kern w:val="2"/>
          <w:shd w:val="clear" w:color="auto" w:fill="FFFFFF"/>
        </w:rPr>
        <w:t xml:space="preserve"> It is seen that all three explanatory variables are statistically significant at least at 10% level. GDP is the most significant variable, and it has a positive association with economic growth. The coefficient implies that one percentage points increase in GDP growth is associated with an increase of 0.26 percentage points in the growth rate of the consumer goods. </w:t>
      </w:r>
      <w:r w:rsidR="00CA00D7" w:rsidRPr="00070AB9">
        <w:rPr>
          <w:rFonts w:ascii="Times New Roman" w:eastAsia="Calibri" w:hAnsi="Times New Roman" w:cs="Times New Roman"/>
          <w:color w:val="000000" w:themeColor="text1"/>
          <w:kern w:val="2"/>
          <w:shd w:val="clear" w:color="auto" w:fill="FFFFFF"/>
        </w:rPr>
        <w:t xml:space="preserve">In addition, one percentage points decline in the unemployment rate is associated with a 0.41 percentage points increase in the consumer goods growth rate. </w:t>
      </w:r>
      <w:r w:rsidR="00F51F42" w:rsidRPr="00070AB9">
        <w:rPr>
          <w:rFonts w:ascii="Times New Roman" w:eastAsia="Calibri" w:hAnsi="Times New Roman" w:cs="Times New Roman"/>
          <w:color w:val="000000" w:themeColor="text1"/>
          <w:kern w:val="2"/>
          <w:shd w:val="clear" w:color="auto" w:fill="FFFFFF"/>
        </w:rPr>
        <w:t xml:space="preserve">Lastly, higher levels of consumer confidence index are also positively associated with higher growth for consumer goods. </w:t>
      </w:r>
      <w:r w:rsidR="00015A0F" w:rsidRPr="00070AB9">
        <w:rPr>
          <w:rFonts w:ascii="Times New Roman" w:eastAsia="Calibri" w:hAnsi="Times New Roman" w:cs="Times New Roman"/>
          <w:color w:val="000000" w:themeColor="text1"/>
          <w:kern w:val="2"/>
          <w:shd w:val="clear" w:color="auto" w:fill="FFFFFF"/>
        </w:rPr>
        <w:t xml:space="preserve">Overall, these results confirm the expectations that demand and confidence factors are important for the consumer goods sector. When discussing the relevance of </w:t>
      </w:r>
      <w:r w:rsidR="001448C0" w:rsidRPr="00070AB9">
        <w:rPr>
          <w:rFonts w:ascii="Times New Roman" w:eastAsia="Calibri" w:hAnsi="Times New Roman" w:cs="Times New Roman"/>
          <w:color w:val="000000" w:themeColor="text1"/>
          <w:kern w:val="2"/>
          <w:shd w:val="clear" w:color="auto" w:fill="FFFFFF"/>
        </w:rPr>
        <w:t xml:space="preserve">the </w:t>
      </w:r>
      <w:r w:rsidR="00015A0F" w:rsidRPr="00070AB9">
        <w:rPr>
          <w:rFonts w:ascii="Times New Roman" w:eastAsia="Calibri" w:hAnsi="Times New Roman" w:cs="Times New Roman"/>
          <w:color w:val="000000" w:themeColor="text1"/>
          <w:kern w:val="2"/>
          <w:shd w:val="clear" w:color="auto" w:fill="FFFFFF"/>
        </w:rPr>
        <w:t xml:space="preserve">data economy for consumer goods, one should also keep macroeconomic factors in mind. </w:t>
      </w:r>
    </w:p>
    <w:p w14:paraId="78093BC3" w14:textId="0A4A1524" w:rsidR="00015A0F" w:rsidRPr="00070AB9" w:rsidRDefault="00015A0F" w:rsidP="00310550">
      <w:pPr>
        <w:pStyle w:val="OBEBody"/>
        <w:rPr>
          <w:rFonts w:ascii="Times New Roman" w:eastAsia="Calibri" w:hAnsi="Times New Roman" w:cs="Times New Roman"/>
          <w:b/>
          <w:bCs/>
          <w:color w:val="000000" w:themeColor="text1"/>
          <w:kern w:val="2"/>
          <w:shd w:val="clear" w:color="auto" w:fill="FFFFFF"/>
        </w:rPr>
      </w:pPr>
    </w:p>
    <w:tbl>
      <w:tblPr>
        <w:tblStyle w:val="TableGrid"/>
        <w:tblW w:w="0" w:type="auto"/>
        <w:tblLook w:val="04A0" w:firstRow="1" w:lastRow="0" w:firstColumn="1" w:lastColumn="0" w:noHBand="0" w:noVBand="1"/>
      </w:tblPr>
      <w:tblGrid>
        <w:gridCol w:w="9016"/>
      </w:tblGrid>
      <w:tr w:rsidR="00070AB9" w:rsidRPr="00070AB9" w14:paraId="1F4A4ACA" w14:textId="77777777" w:rsidTr="00B67581">
        <w:tc>
          <w:tcPr>
            <w:tcW w:w="9016" w:type="dxa"/>
          </w:tcPr>
          <w:p w14:paraId="1FD73CF5" w14:textId="2D09DDEC" w:rsidR="00B67581" w:rsidRPr="00070AB9" w:rsidRDefault="00B67581"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lastRenderedPageBreak/>
              <w:t xml:space="preserve">Table 4: </w:t>
            </w:r>
            <w:r w:rsidR="000236C9" w:rsidRPr="00070AB9">
              <w:rPr>
                <w:rFonts w:ascii="Times New Roman" w:eastAsia="Calibri" w:hAnsi="Times New Roman" w:cs="Times New Roman"/>
                <w:b/>
                <w:bCs/>
                <w:color w:val="000000" w:themeColor="text1"/>
                <w:kern w:val="2"/>
                <w:shd w:val="clear" w:color="auto" w:fill="FFFFFF"/>
              </w:rPr>
              <w:t>Regression Results for Total Consumer Goods Sector</w:t>
            </w:r>
          </w:p>
        </w:tc>
      </w:tr>
      <w:tr w:rsidR="00070AB9" w:rsidRPr="00070AB9" w14:paraId="7E13B31C" w14:textId="77777777" w:rsidTr="00B67581">
        <w:tc>
          <w:tcPr>
            <w:tcW w:w="9016" w:type="dxa"/>
          </w:tcPr>
          <w:p w14:paraId="0023F251" w14:textId="494DFA7F" w:rsidR="00B67581" w:rsidRPr="00070AB9" w:rsidRDefault="00B67581" w:rsidP="00310550">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noProof/>
                <w:color w:val="000000" w:themeColor="text1"/>
                <w:kern w:val="2"/>
                <w:shd w:val="clear" w:color="auto" w:fill="FFFFFF"/>
                <w:lang w:eastAsia="en-GB"/>
              </w:rPr>
              <w:drawing>
                <wp:inline distT="0" distB="0" distL="0" distR="0" wp14:anchorId="60F69308" wp14:editId="50C202A9">
                  <wp:extent cx="5562600" cy="224131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297" cy="2243609"/>
                          </a:xfrm>
                          <a:prstGeom prst="rect">
                            <a:avLst/>
                          </a:prstGeom>
                          <a:noFill/>
                          <a:ln>
                            <a:noFill/>
                          </a:ln>
                        </pic:spPr>
                      </pic:pic>
                    </a:graphicData>
                  </a:graphic>
                </wp:inline>
              </w:drawing>
            </w:r>
          </w:p>
        </w:tc>
      </w:tr>
    </w:tbl>
    <w:p w14:paraId="67B70EE3" w14:textId="77777777" w:rsidR="00B67581" w:rsidRPr="00070AB9" w:rsidRDefault="00B67581" w:rsidP="00310550">
      <w:pPr>
        <w:pStyle w:val="OBEBody"/>
        <w:rPr>
          <w:rFonts w:ascii="Times New Roman" w:eastAsia="Calibri" w:hAnsi="Times New Roman" w:cs="Times New Roman"/>
          <w:b/>
          <w:bCs/>
          <w:color w:val="000000" w:themeColor="text1"/>
          <w:kern w:val="2"/>
          <w:szCs w:val="24"/>
          <w:shd w:val="clear" w:color="auto" w:fill="FFFFFF"/>
        </w:rPr>
      </w:pPr>
    </w:p>
    <w:p w14:paraId="18E7A2DC" w14:textId="3AAFA70E" w:rsidR="001448C0" w:rsidRPr="00070AB9" w:rsidRDefault="001448C0" w:rsidP="00282D35">
      <w:pPr>
        <w:pStyle w:val="OBESubtitle2ndtier"/>
        <w:numPr>
          <w:ilvl w:val="1"/>
          <w:numId w:val="16"/>
        </w:numPr>
        <w:rPr>
          <w:rFonts w:ascii="Times New Roman" w:eastAsia="Calibri" w:hAnsi="Times New Roman" w:cs="Times New Roman"/>
          <w:b/>
          <w:bCs/>
          <w:i w:val="0"/>
          <w:sz w:val="24"/>
          <w:szCs w:val="24"/>
          <w:shd w:val="clear" w:color="auto" w:fill="FFFFFF"/>
        </w:rPr>
      </w:pPr>
      <w:r w:rsidRPr="00070AB9">
        <w:rPr>
          <w:rFonts w:ascii="Times New Roman" w:eastAsia="Calibri" w:hAnsi="Times New Roman" w:cs="Times New Roman"/>
          <w:b/>
          <w:bCs/>
          <w:i w:val="0"/>
          <w:sz w:val="24"/>
          <w:szCs w:val="24"/>
          <w:shd w:val="clear" w:color="auto" w:fill="FFFFFF"/>
        </w:rPr>
        <w:t>Qualitative Discussions</w:t>
      </w:r>
    </w:p>
    <w:p w14:paraId="5C8CB6C2" w14:textId="4347DFF5" w:rsidR="001448C0" w:rsidRPr="00070AB9" w:rsidRDefault="000C40B9" w:rsidP="00FD5A3E">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The previous sections showed that the data economy has been changing the business life in major ways, while the consumer goods sector has been slow in catching that trend. </w:t>
      </w:r>
      <w:r w:rsidR="004C4CA5" w:rsidRPr="00070AB9">
        <w:rPr>
          <w:rFonts w:ascii="Times New Roman" w:eastAsia="Calibri" w:hAnsi="Times New Roman" w:cs="Times New Roman"/>
          <w:color w:val="000000" w:themeColor="text1"/>
          <w:kern w:val="2"/>
          <w:shd w:val="clear" w:color="auto" w:fill="FFFFFF"/>
        </w:rPr>
        <w:t xml:space="preserve">Based on the above analysis and the detailed literature review, this part argues that </w:t>
      </w:r>
      <w:r w:rsidR="006C7AD7" w:rsidRPr="00070AB9">
        <w:rPr>
          <w:rFonts w:ascii="Times New Roman" w:eastAsia="Calibri" w:hAnsi="Times New Roman" w:cs="Times New Roman"/>
          <w:color w:val="000000" w:themeColor="text1"/>
          <w:kern w:val="2"/>
          <w:shd w:val="clear" w:color="auto" w:fill="FFFFFF"/>
        </w:rPr>
        <w:t xml:space="preserve">two business strategies are very crucial to </w:t>
      </w:r>
      <w:r w:rsidR="00EB3BA6" w:rsidRPr="00070AB9">
        <w:rPr>
          <w:rFonts w:ascii="Times New Roman" w:eastAsia="Calibri" w:hAnsi="Times New Roman" w:cs="Times New Roman"/>
          <w:color w:val="000000" w:themeColor="text1"/>
          <w:kern w:val="2"/>
          <w:shd w:val="clear" w:color="auto" w:fill="FFFFFF"/>
        </w:rPr>
        <w:t xml:space="preserve">have a winning model for creating value in the consumer goods sector within the context of the data economy. The first one is the </w:t>
      </w:r>
      <w:r w:rsidR="00D63AD9" w:rsidRPr="00070AB9">
        <w:rPr>
          <w:rFonts w:ascii="Times New Roman" w:eastAsia="Calibri" w:hAnsi="Times New Roman" w:cs="Times New Roman"/>
          <w:color w:val="000000" w:themeColor="text1"/>
          <w:kern w:val="2"/>
          <w:shd w:val="clear" w:color="auto" w:fill="FFFFFF"/>
        </w:rPr>
        <w:t>“</w:t>
      </w:r>
      <w:proofErr w:type="spellStart"/>
      <w:r w:rsidR="00D63AD9" w:rsidRPr="00070AB9">
        <w:rPr>
          <w:rFonts w:ascii="Times New Roman" w:eastAsia="Calibri" w:hAnsi="Times New Roman" w:cs="Times New Roman"/>
          <w:color w:val="000000" w:themeColor="text1"/>
          <w:kern w:val="2"/>
          <w:shd w:val="clear" w:color="auto" w:fill="FFFFFF"/>
        </w:rPr>
        <w:t>servitisation</w:t>
      </w:r>
      <w:proofErr w:type="spellEnd"/>
      <w:r w:rsidR="00D63AD9" w:rsidRPr="00070AB9">
        <w:rPr>
          <w:rFonts w:ascii="Times New Roman" w:eastAsia="Calibri" w:hAnsi="Times New Roman" w:cs="Times New Roman"/>
          <w:color w:val="000000" w:themeColor="text1"/>
          <w:kern w:val="2"/>
          <w:shd w:val="clear" w:color="auto" w:fill="FFFFFF"/>
        </w:rPr>
        <w:t xml:space="preserve">” of the consumer goods and the second one is the establishment of an efficient “big data” capability. </w:t>
      </w:r>
      <w:r w:rsidR="00FD5A3E" w:rsidRPr="00070AB9">
        <w:rPr>
          <w:rFonts w:ascii="Times New Roman" w:eastAsia="Calibri" w:hAnsi="Times New Roman" w:cs="Times New Roman"/>
          <w:color w:val="000000" w:themeColor="text1"/>
          <w:kern w:val="2"/>
          <w:shd w:val="clear" w:color="auto" w:fill="FFFFFF"/>
        </w:rPr>
        <w:t>Regarding the first strategy of “</w:t>
      </w:r>
      <w:proofErr w:type="spellStart"/>
      <w:r w:rsidR="00FD5A3E" w:rsidRPr="00070AB9">
        <w:rPr>
          <w:rFonts w:ascii="Times New Roman" w:eastAsia="Calibri" w:hAnsi="Times New Roman" w:cs="Times New Roman"/>
          <w:color w:val="000000" w:themeColor="text1"/>
          <w:kern w:val="2"/>
          <w:shd w:val="clear" w:color="auto" w:fill="FFFFFF"/>
        </w:rPr>
        <w:t>servitisation</w:t>
      </w:r>
      <w:proofErr w:type="spellEnd"/>
      <w:r w:rsidR="00FD5A3E" w:rsidRPr="00070AB9">
        <w:rPr>
          <w:rFonts w:ascii="Times New Roman" w:eastAsia="Calibri" w:hAnsi="Times New Roman" w:cs="Times New Roman"/>
          <w:color w:val="000000" w:themeColor="text1"/>
          <w:kern w:val="2"/>
          <w:shd w:val="clear" w:color="auto" w:fill="FFFFFF"/>
        </w:rPr>
        <w:t xml:space="preserve">”, </w:t>
      </w:r>
      <w:proofErr w:type="spellStart"/>
      <w:r w:rsidR="00FD5A3E" w:rsidRPr="00070AB9">
        <w:rPr>
          <w:rFonts w:ascii="Times New Roman" w:eastAsia="Calibri" w:hAnsi="Times New Roman" w:cs="Times New Roman"/>
          <w:color w:val="000000" w:themeColor="text1"/>
          <w:kern w:val="2"/>
          <w:shd w:val="clear" w:color="auto" w:fill="FFFFFF"/>
        </w:rPr>
        <w:t>Broström</w:t>
      </w:r>
      <w:proofErr w:type="spellEnd"/>
      <w:r w:rsidR="00FD5A3E" w:rsidRPr="00070AB9">
        <w:rPr>
          <w:rFonts w:ascii="Times New Roman" w:eastAsia="Calibri" w:hAnsi="Times New Roman" w:cs="Times New Roman"/>
          <w:color w:val="000000" w:themeColor="text1"/>
          <w:kern w:val="2"/>
          <w:shd w:val="clear" w:color="auto" w:fill="FFFFFF"/>
        </w:rPr>
        <w:t xml:space="preserve"> and </w:t>
      </w:r>
      <w:proofErr w:type="spellStart"/>
      <w:r w:rsidR="00FD5A3E" w:rsidRPr="00070AB9">
        <w:rPr>
          <w:rFonts w:ascii="Times New Roman" w:eastAsia="Calibri" w:hAnsi="Times New Roman" w:cs="Times New Roman"/>
          <w:color w:val="000000" w:themeColor="text1"/>
          <w:kern w:val="2"/>
          <w:shd w:val="clear" w:color="auto" w:fill="FFFFFF"/>
        </w:rPr>
        <w:t>Halvarsson</w:t>
      </w:r>
      <w:proofErr w:type="spellEnd"/>
      <w:r w:rsidR="00FD5A3E" w:rsidRPr="00070AB9">
        <w:rPr>
          <w:rFonts w:ascii="Times New Roman" w:eastAsia="Calibri" w:hAnsi="Times New Roman" w:cs="Times New Roman"/>
          <w:color w:val="000000" w:themeColor="text1"/>
          <w:kern w:val="2"/>
          <w:shd w:val="clear" w:color="auto" w:fill="FFFFFF"/>
        </w:rPr>
        <w:t xml:space="preserve"> (2016) provide the following definition: “</w:t>
      </w:r>
      <w:proofErr w:type="spellStart"/>
      <w:r w:rsidR="00FD5A3E" w:rsidRPr="00070AB9">
        <w:rPr>
          <w:rFonts w:ascii="Times New Roman" w:eastAsia="Calibri" w:hAnsi="Times New Roman" w:cs="Times New Roman"/>
          <w:color w:val="000000" w:themeColor="text1"/>
          <w:kern w:val="2"/>
          <w:shd w:val="clear" w:color="auto" w:fill="FFFFFF"/>
        </w:rPr>
        <w:t>Servitization</w:t>
      </w:r>
      <w:proofErr w:type="spellEnd"/>
      <w:r w:rsidR="00FD5A3E" w:rsidRPr="00070AB9">
        <w:rPr>
          <w:rFonts w:ascii="Times New Roman" w:eastAsia="Calibri" w:hAnsi="Times New Roman" w:cs="Times New Roman"/>
          <w:color w:val="000000" w:themeColor="text1"/>
          <w:kern w:val="2"/>
          <w:shd w:val="clear" w:color="auto" w:fill="FFFFFF"/>
        </w:rPr>
        <w:t xml:space="preserve"> as a phenomenon is based on having a service-focus rather than a goods-focus in the firm’s operations” (p.8). </w:t>
      </w:r>
      <w:r w:rsidR="004A256F" w:rsidRPr="00070AB9">
        <w:rPr>
          <w:rFonts w:ascii="Times New Roman" w:eastAsia="Calibri" w:hAnsi="Times New Roman" w:cs="Times New Roman"/>
          <w:color w:val="000000" w:themeColor="text1"/>
          <w:kern w:val="2"/>
          <w:shd w:val="clear" w:color="auto" w:fill="FFFFFF"/>
        </w:rPr>
        <w:t>In the goods-focused approach, the main value-added is derived from the production of the goods by brands and their consumption by clients. In this structure, the relationship</w:t>
      </w:r>
      <w:r w:rsidR="00635E82" w:rsidRPr="00070AB9">
        <w:rPr>
          <w:rFonts w:ascii="Times New Roman" w:eastAsia="Calibri" w:hAnsi="Times New Roman" w:cs="Times New Roman"/>
          <w:color w:val="000000" w:themeColor="text1"/>
          <w:kern w:val="2"/>
          <w:shd w:val="clear" w:color="auto" w:fill="FFFFFF"/>
        </w:rPr>
        <w:t>s</w:t>
      </w:r>
      <w:r w:rsidR="004A256F" w:rsidRPr="00070AB9">
        <w:rPr>
          <w:rFonts w:ascii="Times New Roman" w:eastAsia="Calibri" w:hAnsi="Times New Roman" w:cs="Times New Roman"/>
          <w:color w:val="000000" w:themeColor="text1"/>
          <w:kern w:val="2"/>
          <w:shd w:val="clear" w:color="auto" w:fill="FFFFFF"/>
        </w:rPr>
        <w:t xml:space="preserve"> between the brands and consumers are mediated by the retailers. This can decrease the power </w:t>
      </w:r>
      <w:r w:rsidR="00CF4A8A" w:rsidRPr="00070AB9">
        <w:rPr>
          <w:rFonts w:ascii="Times New Roman" w:eastAsia="Calibri" w:hAnsi="Times New Roman" w:cs="Times New Roman"/>
          <w:color w:val="000000" w:themeColor="text1"/>
          <w:kern w:val="2"/>
          <w:shd w:val="clear" w:color="auto" w:fill="FFFFFF"/>
        </w:rPr>
        <w:t xml:space="preserve">of brands in terms of accessing and managing consumer data. The </w:t>
      </w:r>
      <w:proofErr w:type="spellStart"/>
      <w:r w:rsidR="00CF4A8A" w:rsidRPr="00070AB9">
        <w:rPr>
          <w:rFonts w:ascii="Times New Roman" w:eastAsia="Calibri" w:hAnsi="Times New Roman" w:cs="Times New Roman"/>
          <w:color w:val="000000" w:themeColor="text1"/>
          <w:kern w:val="2"/>
          <w:shd w:val="clear" w:color="auto" w:fill="FFFFFF"/>
        </w:rPr>
        <w:t>serviti</w:t>
      </w:r>
      <w:r w:rsidR="005F70CD" w:rsidRPr="00070AB9">
        <w:rPr>
          <w:rFonts w:ascii="Times New Roman" w:eastAsia="Calibri" w:hAnsi="Times New Roman" w:cs="Times New Roman"/>
          <w:color w:val="000000" w:themeColor="text1"/>
          <w:kern w:val="2"/>
          <w:shd w:val="clear" w:color="auto" w:fill="FFFFFF"/>
        </w:rPr>
        <w:t>sation</w:t>
      </w:r>
      <w:proofErr w:type="spellEnd"/>
      <w:r w:rsidR="00CF4A8A" w:rsidRPr="00070AB9">
        <w:rPr>
          <w:rFonts w:ascii="Times New Roman" w:eastAsia="Calibri" w:hAnsi="Times New Roman" w:cs="Times New Roman"/>
          <w:color w:val="000000" w:themeColor="text1"/>
          <w:kern w:val="2"/>
          <w:shd w:val="clear" w:color="auto" w:fill="FFFFFF"/>
        </w:rPr>
        <w:t xml:space="preserve"> process creates new opportunities for the brands to </w:t>
      </w:r>
      <w:r w:rsidR="00B112DC" w:rsidRPr="00070AB9">
        <w:rPr>
          <w:rFonts w:ascii="Times New Roman" w:eastAsia="Calibri" w:hAnsi="Times New Roman" w:cs="Times New Roman"/>
          <w:color w:val="000000" w:themeColor="text1"/>
          <w:kern w:val="2"/>
          <w:shd w:val="clear" w:color="auto" w:fill="FFFFFF"/>
        </w:rPr>
        <w:t xml:space="preserve">form </w:t>
      </w:r>
      <w:r w:rsidR="00CF4A8A" w:rsidRPr="00070AB9">
        <w:rPr>
          <w:rFonts w:ascii="Times New Roman" w:eastAsia="Calibri" w:hAnsi="Times New Roman" w:cs="Times New Roman"/>
          <w:color w:val="000000" w:themeColor="text1"/>
          <w:kern w:val="2"/>
          <w:shd w:val="clear" w:color="auto" w:fill="FFFFFF"/>
        </w:rPr>
        <w:t>direct contacts with the</w:t>
      </w:r>
      <w:r w:rsidR="00BC5FA2" w:rsidRPr="00070AB9">
        <w:rPr>
          <w:rFonts w:ascii="Times New Roman" w:eastAsia="Calibri" w:hAnsi="Times New Roman" w:cs="Times New Roman"/>
          <w:color w:val="000000" w:themeColor="text1"/>
          <w:kern w:val="2"/>
          <w:shd w:val="clear" w:color="auto" w:fill="FFFFFF"/>
        </w:rPr>
        <w:t xml:space="preserve">ir customers. Figure </w:t>
      </w:r>
      <w:r w:rsidR="00B1499E" w:rsidRPr="00070AB9">
        <w:rPr>
          <w:rFonts w:ascii="Times New Roman" w:eastAsia="Calibri" w:hAnsi="Times New Roman" w:cs="Times New Roman"/>
          <w:color w:val="000000" w:themeColor="text1"/>
          <w:kern w:val="2"/>
          <w:shd w:val="clear" w:color="auto" w:fill="FFFFFF"/>
        </w:rPr>
        <w:t xml:space="preserve">4 shows a model of </w:t>
      </w:r>
      <w:proofErr w:type="spellStart"/>
      <w:r w:rsidR="00B1499E" w:rsidRPr="00070AB9">
        <w:rPr>
          <w:rFonts w:ascii="Times New Roman" w:eastAsia="Calibri" w:hAnsi="Times New Roman" w:cs="Times New Roman"/>
          <w:color w:val="000000" w:themeColor="text1"/>
          <w:kern w:val="2"/>
          <w:shd w:val="clear" w:color="auto" w:fill="FFFFFF"/>
        </w:rPr>
        <w:t>servitisation</w:t>
      </w:r>
      <w:proofErr w:type="spellEnd"/>
      <w:r w:rsidR="00B1499E" w:rsidRPr="00070AB9">
        <w:rPr>
          <w:rFonts w:ascii="Times New Roman" w:eastAsia="Calibri" w:hAnsi="Times New Roman" w:cs="Times New Roman"/>
          <w:color w:val="000000" w:themeColor="text1"/>
          <w:kern w:val="2"/>
          <w:shd w:val="clear" w:color="auto" w:fill="FFFFFF"/>
        </w:rPr>
        <w:t xml:space="preserve">. It is seen that </w:t>
      </w:r>
      <w:r w:rsidR="00BB7947" w:rsidRPr="00070AB9">
        <w:rPr>
          <w:rFonts w:ascii="Times New Roman" w:eastAsia="Calibri" w:hAnsi="Times New Roman" w:cs="Times New Roman"/>
          <w:color w:val="000000" w:themeColor="text1"/>
          <w:kern w:val="2"/>
          <w:shd w:val="clear" w:color="auto" w:fill="FFFFFF"/>
        </w:rPr>
        <w:t xml:space="preserve">at the very low levels of </w:t>
      </w:r>
      <w:proofErr w:type="spellStart"/>
      <w:r w:rsidR="00BB7947" w:rsidRPr="00070AB9">
        <w:rPr>
          <w:rFonts w:ascii="Times New Roman" w:eastAsia="Calibri" w:hAnsi="Times New Roman" w:cs="Times New Roman"/>
          <w:color w:val="000000" w:themeColor="text1"/>
          <w:kern w:val="2"/>
          <w:shd w:val="clear" w:color="auto" w:fill="FFFFFF"/>
        </w:rPr>
        <w:t>servitisation</w:t>
      </w:r>
      <w:proofErr w:type="spellEnd"/>
      <w:r w:rsidR="00BB7947" w:rsidRPr="00070AB9">
        <w:rPr>
          <w:rFonts w:ascii="Times New Roman" w:eastAsia="Calibri" w:hAnsi="Times New Roman" w:cs="Times New Roman"/>
          <w:color w:val="000000" w:themeColor="text1"/>
          <w:kern w:val="2"/>
          <w:shd w:val="clear" w:color="auto" w:fill="FFFFFF"/>
        </w:rPr>
        <w:t xml:space="preserve">, the relationship between brands and consumers is only at the transaction level. </w:t>
      </w:r>
      <w:r w:rsidR="007C5F4C" w:rsidRPr="00070AB9">
        <w:rPr>
          <w:rFonts w:ascii="Times New Roman" w:eastAsia="Calibri" w:hAnsi="Times New Roman" w:cs="Times New Roman"/>
          <w:color w:val="000000" w:themeColor="text1"/>
          <w:kern w:val="2"/>
          <w:shd w:val="clear" w:color="auto" w:fill="FFFFFF"/>
        </w:rPr>
        <w:t>Brands can move towards</w:t>
      </w:r>
      <w:r w:rsidR="00EB0D08" w:rsidRPr="00070AB9">
        <w:rPr>
          <w:rFonts w:ascii="Times New Roman" w:eastAsia="Calibri" w:hAnsi="Times New Roman" w:cs="Times New Roman"/>
          <w:color w:val="000000" w:themeColor="text1"/>
          <w:kern w:val="2"/>
          <w:shd w:val="clear" w:color="auto" w:fill="FFFFFF"/>
        </w:rPr>
        <w:t xml:space="preserve"> </w:t>
      </w:r>
      <w:r w:rsidR="007C5F4C" w:rsidRPr="00070AB9">
        <w:rPr>
          <w:rFonts w:ascii="Times New Roman" w:eastAsia="Calibri" w:hAnsi="Times New Roman" w:cs="Times New Roman"/>
          <w:color w:val="000000" w:themeColor="text1"/>
          <w:kern w:val="2"/>
          <w:shd w:val="clear" w:color="auto" w:fill="FFFFFF"/>
        </w:rPr>
        <w:t>highe</w:t>
      </w:r>
      <w:r w:rsidR="00EB0D08" w:rsidRPr="00070AB9">
        <w:rPr>
          <w:rFonts w:ascii="Times New Roman" w:eastAsia="Calibri" w:hAnsi="Times New Roman" w:cs="Times New Roman"/>
          <w:color w:val="000000" w:themeColor="text1"/>
          <w:kern w:val="2"/>
          <w:shd w:val="clear" w:color="auto" w:fill="FFFFFF"/>
        </w:rPr>
        <w:t>r</w:t>
      </w:r>
      <w:r w:rsidR="007C5F4C" w:rsidRPr="00070AB9">
        <w:rPr>
          <w:rFonts w:ascii="Times New Roman" w:eastAsia="Calibri" w:hAnsi="Times New Roman" w:cs="Times New Roman"/>
          <w:color w:val="000000" w:themeColor="text1"/>
          <w:kern w:val="2"/>
          <w:shd w:val="clear" w:color="auto" w:fill="FFFFFF"/>
        </w:rPr>
        <w:t xml:space="preserve"> levels of </w:t>
      </w:r>
      <w:proofErr w:type="spellStart"/>
      <w:r w:rsidR="007C5F4C" w:rsidRPr="00070AB9">
        <w:rPr>
          <w:rFonts w:ascii="Times New Roman" w:eastAsia="Calibri" w:hAnsi="Times New Roman" w:cs="Times New Roman"/>
          <w:color w:val="000000" w:themeColor="text1"/>
          <w:kern w:val="2"/>
          <w:shd w:val="clear" w:color="auto" w:fill="FFFFFF"/>
        </w:rPr>
        <w:t>servitisati</w:t>
      </w:r>
      <w:r w:rsidR="00C77492" w:rsidRPr="00070AB9">
        <w:rPr>
          <w:rFonts w:ascii="Times New Roman" w:eastAsia="Calibri" w:hAnsi="Times New Roman" w:cs="Times New Roman"/>
          <w:color w:val="000000" w:themeColor="text1"/>
          <w:kern w:val="2"/>
          <w:shd w:val="clear" w:color="auto" w:fill="FFFFFF"/>
        </w:rPr>
        <w:t>on</w:t>
      </w:r>
      <w:proofErr w:type="spellEnd"/>
      <w:r w:rsidR="00C77492" w:rsidRPr="00070AB9">
        <w:rPr>
          <w:rFonts w:ascii="Times New Roman" w:eastAsia="Calibri" w:hAnsi="Times New Roman" w:cs="Times New Roman"/>
          <w:color w:val="000000" w:themeColor="text1"/>
          <w:kern w:val="2"/>
          <w:shd w:val="clear" w:color="auto" w:fill="FFFFFF"/>
        </w:rPr>
        <w:t xml:space="preserve">. In the second stage, they can focus on both product and service delivery. </w:t>
      </w:r>
      <w:r w:rsidR="007C5F4C" w:rsidRPr="00070AB9">
        <w:rPr>
          <w:rFonts w:ascii="Times New Roman" w:eastAsia="Calibri" w:hAnsi="Times New Roman" w:cs="Times New Roman"/>
          <w:color w:val="000000" w:themeColor="text1"/>
          <w:kern w:val="2"/>
          <w:shd w:val="clear" w:color="auto" w:fill="FFFFFF"/>
        </w:rPr>
        <w:t xml:space="preserve"> </w:t>
      </w:r>
      <w:r w:rsidR="00C77492" w:rsidRPr="00070AB9">
        <w:rPr>
          <w:rFonts w:ascii="Times New Roman" w:eastAsia="Calibri" w:hAnsi="Times New Roman" w:cs="Times New Roman"/>
          <w:color w:val="000000" w:themeColor="text1"/>
          <w:kern w:val="2"/>
          <w:shd w:val="clear" w:color="auto" w:fill="FFFFFF"/>
        </w:rPr>
        <w:t xml:space="preserve">In the third stage, they can engage in the customization of products and services according to customer needs. </w:t>
      </w:r>
      <w:r w:rsidR="00FB2C50" w:rsidRPr="00070AB9">
        <w:rPr>
          <w:rFonts w:ascii="Times New Roman" w:eastAsia="Calibri" w:hAnsi="Times New Roman" w:cs="Times New Roman"/>
          <w:color w:val="000000" w:themeColor="text1"/>
          <w:kern w:val="2"/>
          <w:shd w:val="clear" w:color="auto" w:fill="FFFFFF"/>
        </w:rPr>
        <w:t xml:space="preserve">So, increasing the level of engagement with customers through </w:t>
      </w:r>
      <w:proofErr w:type="spellStart"/>
      <w:r w:rsidR="00FB2C50" w:rsidRPr="00070AB9">
        <w:rPr>
          <w:rFonts w:ascii="Times New Roman" w:eastAsia="Calibri" w:hAnsi="Times New Roman" w:cs="Times New Roman"/>
          <w:color w:val="000000" w:themeColor="text1"/>
          <w:kern w:val="2"/>
          <w:shd w:val="clear" w:color="auto" w:fill="FFFFFF"/>
        </w:rPr>
        <w:t>servitisation</w:t>
      </w:r>
      <w:proofErr w:type="spellEnd"/>
      <w:r w:rsidR="00FB2C50" w:rsidRPr="00070AB9">
        <w:rPr>
          <w:rFonts w:ascii="Times New Roman" w:eastAsia="Calibri" w:hAnsi="Times New Roman" w:cs="Times New Roman"/>
          <w:color w:val="000000" w:themeColor="text1"/>
          <w:kern w:val="2"/>
          <w:shd w:val="clear" w:color="auto" w:fill="FFFFFF"/>
        </w:rPr>
        <w:t xml:space="preserve"> of consumer goods is an important strategy to increase the </w:t>
      </w:r>
      <w:r w:rsidR="004A5F64" w:rsidRPr="00070AB9">
        <w:rPr>
          <w:rFonts w:ascii="Times New Roman" w:eastAsia="Calibri" w:hAnsi="Times New Roman" w:cs="Times New Roman"/>
          <w:color w:val="000000" w:themeColor="text1"/>
          <w:kern w:val="2"/>
          <w:shd w:val="clear" w:color="auto" w:fill="FFFFFF"/>
        </w:rPr>
        <w:lastRenderedPageBreak/>
        <w:t>competitive advantage of companies. In this way, brands can collect very detailed information on personal characteris</w:t>
      </w:r>
      <w:r w:rsidR="00FC34B1" w:rsidRPr="00070AB9">
        <w:rPr>
          <w:rFonts w:ascii="Times New Roman" w:eastAsia="Calibri" w:hAnsi="Times New Roman" w:cs="Times New Roman"/>
          <w:color w:val="000000" w:themeColor="text1"/>
          <w:kern w:val="2"/>
          <w:shd w:val="clear" w:color="auto" w:fill="FFFFFF"/>
        </w:rPr>
        <w:t>t</w:t>
      </w:r>
      <w:r w:rsidR="004A5F64" w:rsidRPr="00070AB9">
        <w:rPr>
          <w:rFonts w:ascii="Times New Roman" w:eastAsia="Calibri" w:hAnsi="Times New Roman" w:cs="Times New Roman"/>
          <w:color w:val="000000" w:themeColor="text1"/>
          <w:kern w:val="2"/>
          <w:shd w:val="clear" w:color="auto" w:fill="FFFFFF"/>
        </w:rPr>
        <w:t xml:space="preserve">ics and </w:t>
      </w:r>
      <w:r w:rsidR="00FC34B1" w:rsidRPr="00070AB9">
        <w:rPr>
          <w:rFonts w:ascii="Times New Roman" w:eastAsia="Calibri" w:hAnsi="Times New Roman" w:cs="Times New Roman"/>
          <w:color w:val="000000" w:themeColor="text1"/>
          <w:kern w:val="2"/>
          <w:shd w:val="clear" w:color="auto" w:fill="FFFFFF"/>
        </w:rPr>
        <w:t xml:space="preserve">purchase behaviours. </w:t>
      </w:r>
    </w:p>
    <w:tbl>
      <w:tblPr>
        <w:tblStyle w:val="TableGrid"/>
        <w:tblW w:w="0" w:type="auto"/>
        <w:tblLook w:val="04A0" w:firstRow="1" w:lastRow="0" w:firstColumn="1" w:lastColumn="0" w:noHBand="0" w:noVBand="1"/>
      </w:tblPr>
      <w:tblGrid>
        <w:gridCol w:w="9016"/>
      </w:tblGrid>
      <w:tr w:rsidR="00070AB9" w:rsidRPr="00070AB9" w14:paraId="03176125" w14:textId="77777777" w:rsidTr="0089295C">
        <w:tc>
          <w:tcPr>
            <w:tcW w:w="8500" w:type="dxa"/>
          </w:tcPr>
          <w:p w14:paraId="6D161458" w14:textId="5AC7AB47" w:rsidR="00B1499E" w:rsidRPr="00070AB9" w:rsidRDefault="0017056D" w:rsidP="00FD5A3E">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F</w:t>
            </w:r>
            <w:r w:rsidR="00B1499E" w:rsidRPr="00070AB9">
              <w:rPr>
                <w:rFonts w:ascii="Times New Roman" w:eastAsia="Calibri" w:hAnsi="Times New Roman" w:cs="Times New Roman"/>
                <w:b/>
                <w:bCs/>
                <w:color w:val="000000" w:themeColor="text1"/>
                <w:kern w:val="2"/>
                <w:shd w:val="clear" w:color="auto" w:fill="FFFFFF"/>
              </w:rPr>
              <w:t>ig</w:t>
            </w:r>
            <w:r w:rsidR="00FB2C50" w:rsidRPr="00070AB9">
              <w:rPr>
                <w:rFonts w:ascii="Times New Roman" w:eastAsia="Calibri" w:hAnsi="Times New Roman" w:cs="Times New Roman"/>
                <w:b/>
                <w:bCs/>
                <w:color w:val="000000" w:themeColor="text1"/>
                <w:kern w:val="2"/>
                <w:shd w:val="clear" w:color="auto" w:fill="FFFFFF"/>
              </w:rPr>
              <w:t>ure 4</w:t>
            </w:r>
            <w:r w:rsidR="00B1499E" w:rsidRPr="00070AB9">
              <w:rPr>
                <w:rFonts w:ascii="Times New Roman" w:eastAsia="Calibri" w:hAnsi="Times New Roman" w:cs="Times New Roman"/>
                <w:b/>
                <w:bCs/>
                <w:color w:val="000000" w:themeColor="text1"/>
                <w:kern w:val="2"/>
                <w:shd w:val="clear" w:color="auto" w:fill="FFFFFF"/>
              </w:rPr>
              <w:t xml:space="preserve">: </w:t>
            </w:r>
            <w:proofErr w:type="spellStart"/>
            <w:r w:rsidR="00B1499E" w:rsidRPr="00070AB9">
              <w:rPr>
                <w:rFonts w:ascii="Times New Roman" w:eastAsia="Calibri" w:hAnsi="Times New Roman" w:cs="Times New Roman"/>
                <w:b/>
                <w:bCs/>
                <w:color w:val="000000" w:themeColor="text1"/>
                <w:kern w:val="2"/>
                <w:shd w:val="clear" w:color="auto" w:fill="FFFFFF"/>
              </w:rPr>
              <w:t>Servitisation</w:t>
            </w:r>
            <w:proofErr w:type="spellEnd"/>
          </w:p>
        </w:tc>
      </w:tr>
      <w:tr w:rsidR="00070AB9" w:rsidRPr="00070AB9" w14:paraId="32FD0F11" w14:textId="77777777" w:rsidTr="0089295C">
        <w:tc>
          <w:tcPr>
            <w:tcW w:w="8500" w:type="dxa"/>
          </w:tcPr>
          <w:p w14:paraId="32F66E95" w14:textId="0C0DE096" w:rsidR="00B1499E" w:rsidRPr="00070AB9" w:rsidRDefault="00B9720E" w:rsidP="00FD5A3E">
            <w:pPr>
              <w:pStyle w:val="OBEBody"/>
              <w:rPr>
                <w:rFonts w:ascii="Times New Roman" w:eastAsia="Calibri" w:hAnsi="Times New Roman" w:cs="Times New Roman"/>
                <w:b/>
                <w:bCs/>
                <w:color w:val="000000" w:themeColor="text1"/>
                <w:kern w:val="2"/>
                <w:shd w:val="clear" w:color="auto" w:fill="FFFFFF"/>
              </w:rPr>
            </w:pPr>
            <w:r w:rsidRPr="00B9720E">
              <w:rPr>
                <w:rFonts w:ascii="Times New Roman" w:hAnsi="Times New Roman" w:cs="Times New Roman"/>
                <w:b/>
                <w:noProof/>
                <w:color w:val="000000" w:themeColor="text1"/>
              </w:rPr>
              <w:object w:dxaOrig="11424" w:dyaOrig="8424" w14:anchorId="75215221">
                <v:shape id="_x0000_i1025" type="#_x0000_t75" alt="" style="width:441pt;height:325.95pt;mso-width-percent:0;mso-height-percent:0;mso-width-percent:0;mso-height-percent:0" o:ole="">
                  <v:imagedata r:id="rId13" o:title=""/>
                </v:shape>
                <o:OLEObject Type="Embed" ProgID="PBrush" ShapeID="_x0000_i1025" DrawAspect="Content" ObjectID="_1650797959" r:id="rId14"/>
              </w:object>
            </w:r>
          </w:p>
        </w:tc>
      </w:tr>
      <w:tr w:rsidR="00B1499E" w:rsidRPr="00070AB9" w14:paraId="44E0F365" w14:textId="77777777" w:rsidTr="0089295C">
        <w:tc>
          <w:tcPr>
            <w:tcW w:w="8500" w:type="dxa"/>
          </w:tcPr>
          <w:p w14:paraId="3137CDDA" w14:textId="3F1FCC2A" w:rsidR="00B1499E" w:rsidRPr="00070AB9" w:rsidRDefault="00B1499E" w:rsidP="00FD5A3E">
            <w:pPr>
              <w:pStyle w:val="OBEBody"/>
              <w:rPr>
                <w:rFonts w:ascii="Times New Roman" w:eastAsia="Calibri" w:hAnsi="Times New Roman" w:cs="Times New Roman"/>
                <w:b/>
                <w:bCs/>
                <w:color w:val="000000" w:themeColor="text1"/>
                <w:kern w:val="2"/>
                <w:shd w:val="clear" w:color="auto" w:fill="FFFFFF"/>
              </w:rPr>
            </w:pPr>
            <w:r w:rsidRPr="00070AB9">
              <w:rPr>
                <w:rFonts w:ascii="Times New Roman" w:eastAsia="Calibri" w:hAnsi="Times New Roman" w:cs="Times New Roman"/>
                <w:b/>
                <w:bCs/>
                <w:color w:val="000000" w:themeColor="text1"/>
                <w:kern w:val="2"/>
                <w:shd w:val="clear" w:color="auto" w:fill="FFFFFF"/>
              </w:rPr>
              <w:t xml:space="preserve">Source: </w:t>
            </w:r>
            <w:proofErr w:type="spellStart"/>
            <w:r w:rsidRPr="00070AB9">
              <w:rPr>
                <w:rFonts w:ascii="Times New Roman" w:eastAsia="Calibri" w:hAnsi="Times New Roman" w:cs="Times New Roman"/>
                <w:b/>
                <w:bCs/>
                <w:color w:val="000000" w:themeColor="text1"/>
                <w:kern w:val="2"/>
                <w:shd w:val="clear" w:color="auto" w:fill="FFFFFF"/>
              </w:rPr>
              <w:t>Broström</w:t>
            </w:r>
            <w:proofErr w:type="spellEnd"/>
            <w:r w:rsidRPr="00070AB9">
              <w:rPr>
                <w:rFonts w:ascii="Times New Roman" w:eastAsia="Calibri" w:hAnsi="Times New Roman" w:cs="Times New Roman"/>
                <w:b/>
                <w:bCs/>
                <w:color w:val="000000" w:themeColor="text1"/>
                <w:kern w:val="2"/>
                <w:shd w:val="clear" w:color="auto" w:fill="FFFFFF"/>
              </w:rPr>
              <w:t xml:space="preserve"> and </w:t>
            </w:r>
            <w:proofErr w:type="spellStart"/>
            <w:r w:rsidRPr="00070AB9">
              <w:rPr>
                <w:rFonts w:ascii="Times New Roman" w:eastAsia="Calibri" w:hAnsi="Times New Roman" w:cs="Times New Roman"/>
                <w:b/>
                <w:bCs/>
                <w:color w:val="000000" w:themeColor="text1"/>
                <w:kern w:val="2"/>
                <w:shd w:val="clear" w:color="auto" w:fill="FFFFFF"/>
              </w:rPr>
              <w:t>Halvarsson</w:t>
            </w:r>
            <w:proofErr w:type="spellEnd"/>
            <w:r w:rsidRPr="00070AB9">
              <w:rPr>
                <w:rFonts w:ascii="Times New Roman" w:eastAsia="Calibri" w:hAnsi="Times New Roman" w:cs="Times New Roman"/>
                <w:b/>
                <w:bCs/>
                <w:color w:val="000000" w:themeColor="text1"/>
                <w:kern w:val="2"/>
                <w:shd w:val="clear" w:color="auto" w:fill="FFFFFF"/>
              </w:rPr>
              <w:t xml:space="preserve"> (2016).</w:t>
            </w:r>
          </w:p>
        </w:tc>
      </w:tr>
    </w:tbl>
    <w:p w14:paraId="7B3670DE" w14:textId="77777777" w:rsidR="0089295C" w:rsidRPr="00070AB9" w:rsidRDefault="0089295C" w:rsidP="00FD5A3E">
      <w:pPr>
        <w:pStyle w:val="OBEBody"/>
        <w:rPr>
          <w:rFonts w:ascii="Times New Roman" w:eastAsia="Calibri" w:hAnsi="Times New Roman" w:cs="Times New Roman"/>
          <w:b/>
          <w:bCs/>
          <w:color w:val="000000" w:themeColor="text1"/>
          <w:kern w:val="2"/>
          <w:shd w:val="clear" w:color="auto" w:fill="FFFFFF"/>
        </w:rPr>
      </w:pPr>
    </w:p>
    <w:p w14:paraId="2B9625DE" w14:textId="57DF7FFB" w:rsidR="00BC5FA2" w:rsidRPr="00070AB9" w:rsidRDefault="00007411" w:rsidP="00FD5A3E">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 xml:space="preserve">Once </w:t>
      </w:r>
      <w:proofErr w:type="spellStart"/>
      <w:r w:rsidRPr="00070AB9">
        <w:rPr>
          <w:rFonts w:ascii="Times New Roman" w:eastAsia="Calibri" w:hAnsi="Times New Roman" w:cs="Times New Roman"/>
          <w:color w:val="000000" w:themeColor="text1"/>
          <w:kern w:val="2"/>
          <w:shd w:val="clear" w:color="auto" w:fill="FFFFFF"/>
        </w:rPr>
        <w:t>servitisation</w:t>
      </w:r>
      <w:proofErr w:type="spellEnd"/>
      <w:r w:rsidRPr="00070AB9">
        <w:rPr>
          <w:rFonts w:ascii="Times New Roman" w:eastAsia="Calibri" w:hAnsi="Times New Roman" w:cs="Times New Roman"/>
          <w:color w:val="000000" w:themeColor="text1"/>
          <w:kern w:val="2"/>
          <w:shd w:val="clear" w:color="auto" w:fill="FFFFFF"/>
        </w:rPr>
        <w:t xml:space="preserve"> allows the greater access of brands to their consumers, the firms should also devise effective big data mechanisms to use the new information efficiently. </w:t>
      </w:r>
      <w:r w:rsidR="006350E6" w:rsidRPr="00070AB9">
        <w:rPr>
          <w:rFonts w:ascii="Times New Roman" w:eastAsia="Calibri" w:hAnsi="Times New Roman" w:cs="Times New Roman"/>
          <w:color w:val="000000" w:themeColor="text1"/>
          <w:kern w:val="2"/>
          <w:shd w:val="clear" w:color="auto" w:fill="FFFFFF"/>
        </w:rPr>
        <w:t xml:space="preserve">In this context, </w:t>
      </w:r>
      <w:proofErr w:type="spellStart"/>
      <w:r w:rsidR="006350E6" w:rsidRPr="00070AB9">
        <w:rPr>
          <w:rFonts w:ascii="Times New Roman" w:eastAsia="Calibri" w:hAnsi="Times New Roman" w:cs="Times New Roman"/>
          <w:color w:val="000000" w:themeColor="text1"/>
          <w:kern w:val="2"/>
          <w:shd w:val="clear" w:color="auto" w:fill="FFFFFF"/>
        </w:rPr>
        <w:t>Opher</w:t>
      </w:r>
      <w:proofErr w:type="spellEnd"/>
      <w:r w:rsidR="006350E6" w:rsidRPr="00070AB9">
        <w:rPr>
          <w:rFonts w:ascii="Times New Roman" w:eastAsia="Calibri" w:hAnsi="Times New Roman" w:cs="Times New Roman"/>
          <w:color w:val="000000" w:themeColor="text1"/>
          <w:kern w:val="2"/>
          <w:shd w:val="clear" w:color="auto" w:fill="FFFFFF"/>
        </w:rPr>
        <w:t xml:space="preserve"> et al. (2016) argue that data is one of the most important assets for companies. </w:t>
      </w:r>
      <w:r w:rsidR="000D6759" w:rsidRPr="00070AB9">
        <w:rPr>
          <w:rFonts w:ascii="Times New Roman" w:eastAsia="Calibri" w:hAnsi="Times New Roman" w:cs="Times New Roman"/>
          <w:color w:val="000000" w:themeColor="text1"/>
          <w:kern w:val="2"/>
          <w:shd w:val="clear" w:color="auto" w:fill="FFFFFF"/>
        </w:rPr>
        <w:t>However, to be able to utili</w:t>
      </w:r>
      <w:r w:rsidR="00635E82" w:rsidRPr="00070AB9">
        <w:rPr>
          <w:rFonts w:ascii="Times New Roman" w:eastAsia="Calibri" w:hAnsi="Times New Roman" w:cs="Times New Roman"/>
          <w:color w:val="000000" w:themeColor="text1"/>
          <w:kern w:val="2"/>
          <w:shd w:val="clear" w:color="auto" w:fill="FFFFFF"/>
        </w:rPr>
        <w:t>s</w:t>
      </w:r>
      <w:r w:rsidR="000D6759" w:rsidRPr="00070AB9">
        <w:rPr>
          <w:rFonts w:ascii="Times New Roman" w:eastAsia="Calibri" w:hAnsi="Times New Roman" w:cs="Times New Roman"/>
          <w:color w:val="000000" w:themeColor="text1"/>
          <w:kern w:val="2"/>
          <w:shd w:val="clear" w:color="auto" w:fill="FFFFFF"/>
        </w:rPr>
        <w:t>e this asset, the firms need to arrange their organi</w:t>
      </w:r>
      <w:r w:rsidR="00635E82" w:rsidRPr="00070AB9">
        <w:rPr>
          <w:rFonts w:ascii="Times New Roman" w:eastAsia="Calibri" w:hAnsi="Times New Roman" w:cs="Times New Roman"/>
          <w:color w:val="000000" w:themeColor="text1"/>
          <w:kern w:val="2"/>
          <w:shd w:val="clear" w:color="auto" w:fill="FFFFFF"/>
        </w:rPr>
        <w:t>s</w:t>
      </w:r>
      <w:r w:rsidR="000D6759" w:rsidRPr="00070AB9">
        <w:rPr>
          <w:rFonts w:ascii="Times New Roman" w:eastAsia="Calibri" w:hAnsi="Times New Roman" w:cs="Times New Roman"/>
          <w:color w:val="000000" w:themeColor="text1"/>
          <w:kern w:val="2"/>
          <w:shd w:val="clear" w:color="auto" w:fill="FFFFFF"/>
        </w:rPr>
        <w:t xml:space="preserve">ational structure along with technical and human capital infrastructure accordingly. This process would require detailed investments and managerial effort. However, it would pay positively in terms of higher competitive advantage for the consumer goods firms. Overall, these discussions argue that </w:t>
      </w:r>
      <w:proofErr w:type="spellStart"/>
      <w:r w:rsidR="0089295C" w:rsidRPr="00070AB9">
        <w:rPr>
          <w:rFonts w:ascii="Times New Roman" w:eastAsia="Calibri" w:hAnsi="Times New Roman" w:cs="Times New Roman"/>
          <w:color w:val="000000" w:themeColor="text1"/>
          <w:kern w:val="2"/>
          <w:shd w:val="clear" w:color="auto" w:fill="FFFFFF"/>
        </w:rPr>
        <w:lastRenderedPageBreak/>
        <w:t>servitisation</w:t>
      </w:r>
      <w:proofErr w:type="spellEnd"/>
      <w:r w:rsidR="0089295C" w:rsidRPr="00070AB9">
        <w:rPr>
          <w:rFonts w:ascii="Times New Roman" w:eastAsia="Calibri" w:hAnsi="Times New Roman" w:cs="Times New Roman"/>
          <w:color w:val="000000" w:themeColor="text1"/>
          <w:kern w:val="2"/>
          <w:shd w:val="clear" w:color="auto" w:fill="FFFFFF"/>
        </w:rPr>
        <w:t xml:space="preserve"> and big data analytics are the winning strategies for creating value i</w:t>
      </w:r>
      <w:r w:rsidR="008B5EE1" w:rsidRPr="00070AB9">
        <w:rPr>
          <w:rFonts w:ascii="Times New Roman" w:eastAsia="Calibri" w:hAnsi="Times New Roman" w:cs="Times New Roman"/>
          <w:color w:val="000000" w:themeColor="text1"/>
          <w:kern w:val="2"/>
          <w:shd w:val="clear" w:color="auto" w:fill="FFFFFF"/>
        </w:rPr>
        <w:t xml:space="preserve">n consumer goods within the context of the data economy. </w:t>
      </w:r>
    </w:p>
    <w:p w14:paraId="089F5A01" w14:textId="47BDA73C" w:rsidR="000D6759" w:rsidRPr="00070AB9" w:rsidRDefault="000D6759" w:rsidP="00FD5A3E">
      <w:pPr>
        <w:pStyle w:val="OBEBody"/>
        <w:rPr>
          <w:rFonts w:ascii="Times New Roman" w:eastAsia="Calibri" w:hAnsi="Times New Roman" w:cs="Times New Roman"/>
          <w:b/>
          <w:bCs/>
          <w:color w:val="000000" w:themeColor="text1"/>
          <w:kern w:val="2"/>
          <w:sz w:val="28"/>
          <w:szCs w:val="28"/>
          <w:shd w:val="clear" w:color="auto" w:fill="FFFFFF"/>
        </w:rPr>
      </w:pPr>
    </w:p>
    <w:p w14:paraId="51C58DA6" w14:textId="451268C1" w:rsidR="000D6759" w:rsidRPr="00070AB9" w:rsidRDefault="00B52A31" w:rsidP="00B52A31">
      <w:pPr>
        <w:pStyle w:val="OBESubtitle1sttier"/>
        <w:numPr>
          <w:ilvl w:val="0"/>
          <w:numId w:val="16"/>
        </w:numPr>
        <w:rPr>
          <w:rFonts w:ascii="Times New Roman" w:eastAsia="Calibri" w:hAnsi="Times New Roman" w:cs="Times New Roman"/>
          <w:b/>
          <w:bCs/>
          <w:color w:val="000000" w:themeColor="text1"/>
          <w:sz w:val="28"/>
          <w:szCs w:val="28"/>
          <w:shd w:val="clear" w:color="auto" w:fill="FFFFFF"/>
        </w:rPr>
      </w:pPr>
      <w:r w:rsidRPr="00070AB9">
        <w:rPr>
          <w:rFonts w:ascii="Times New Roman" w:eastAsia="Calibri" w:hAnsi="Times New Roman" w:cs="Times New Roman"/>
          <w:b/>
          <w:bCs/>
          <w:color w:val="000000" w:themeColor="text1"/>
          <w:sz w:val="28"/>
          <w:szCs w:val="28"/>
          <w:shd w:val="clear" w:color="auto" w:fill="FFFFFF"/>
        </w:rPr>
        <w:t>Conclusion</w:t>
      </w:r>
    </w:p>
    <w:p w14:paraId="1653A061" w14:textId="63C56C33" w:rsidR="00B52A31" w:rsidRPr="00070AB9" w:rsidRDefault="00B52A31" w:rsidP="00FD5A3E">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The research examines the relevance of the data economy for the consumer goods sector and aims to derive a winning model of value creation. To</w:t>
      </w:r>
      <w:r w:rsidR="005E3933" w:rsidRPr="00070AB9">
        <w:rPr>
          <w:rFonts w:ascii="Times New Roman" w:eastAsia="Calibri" w:hAnsi="Times New Roman" w:cs="Times New Roman"/>
          <w:color w:val="000000" w:themeColor="text1"/>
          <w:kern w:val="2"/>
          <w:shd w:val="clear" w:color="auto" w:fill="FFFFFF"/>
        </w:rPr>
        <w:t>wards this aim, it pro</w:t>
      </w:r>
      <w:r w:rsidR="00877ACE" w:rsidRPr="00070AB9">
        <w:rPr>
          <w:rFonts w:ascii="Times New Roman" w:eastAsia="Calibri" w:hAnsi="Times New Roman" w:cs="Times New Roman"/>
          <w:color w:val="000000" w:themeColor="text1"/>
          <w:kern w:val="2"/>
          <w:shd w:val="clear" w:color="auto" w:fill="FFFFFF"/>
        </w:rPr>
        <w:t>vid</w:t>
      </w:r>
      <w:r w:rsidR="005E3933" w:rsidRPr="00070AB9">
        <w:rPr>
          <w:rFonts w:ascii="Times New Roman" w:eastAsia="Calibri" w:hAnsi="Times New Roman" w:cs="Times New Roman"/>
          <w:color w:val="000000" w:themeColor="text1"/>
          <w:kern w:val="2"/>
          <w:shd w:val="clear" w:color="auto" w:fill="FFFFFF"/>
        </w:rPr>
        <w:t xml:space="preserve">es a detailed literature review. The relevant discussions show that </w:t>
      </w:r>
      <w:r w:rsidR="00877ACE" w:rsidRPr="00070AB9">
        <w:rPr>
          <w:rFonts w:ascii="Times New Roman" w:eastAsia="Calibri" w:hAnsi="Times New Roman" w:cs="Times New Roman"/>
          <w:color w:val="000000" w:themeColor="text1"/>
          <w:kern w:val="2"/>
          <w:shd w:val="clear" w:color="auto" w:fill="FFFFFF"/>
        </w:rPr>
        <w:t xml:space="preserve">the consumer goods sector, and especially the fast-moving consumer goods sector, is a very dynamic market. </w:t>
      </w:r>
      <w:r w:rsidR="00E648D9" w:rsidRPr="00070AB9">
        <w:rPr>
          <w:rFonts w:ascii="Times New Roman" w:eastAsia="Calibri" w:hAnsi="Times New Roman" w:cs="Times New Roman"/>
          <w:color w:val="000000" w:themeColor="text1"/>
          <w:kern w:val="2"/>
          <w:shd w:val="clear" w:color="auto" w:fill="FFFFFF"/>
        </w:rPr>
        <w:t>Some segments of this market</w:t>
      </w:r>
      <w:r w:rsidR="00073084" w:rsidRPr="00070AB9">
        <w:rPr>
          <w:rFonts w:ascii="Times New Roman" w:eastAsia="Calibri" w:hAnsi="Times New Roman" w:cs="Times New Roman"/>
          <w:color w:val="000000" w:themeColor="text1"/>
          <w:kern w:val="2"/>
          <w:shd w:val="clear" w:color="auto" w:fill="FFFFFF"/>
        </w:rPr>
        <w:t>,</w:t>
      </w:r>
      <w:r w:rsidR="00E648D9" w:rsidRPr="00070AB9">
        <w:rPr>
          <w:rFonts w:ascii="Times New Roman" w:eastAsia="Calibri" w:hAnsi="Times New Roman" w:cs="Times New Roman"/>
          <w:color w:val="000000" w:themeColor="text1"/>
          <w:kern w:val="2"/>
          <w:shd w:val="clear" w:color="auto" w:fill="FFFFFF"/>
        </w:rPr>
        <w:t xml:space="preserve"> like furnishing, clothing, and footwear</w:t>
      </w:r>
      <w:r w:rsidR="00073084" w:rsidRPr="00070AB9">
        <w:rPr>
          <w:rFonts w:ascii="Times New Roman" w:eastAsia="Calibri" w:hAnsi="Times New Roman" w:cs="Times New Roman"/>
          <w:color w:val="000000" w:themeColor="text1"/>
          <w:kern w:val="2"/>
          <w:shd w:val="clear" w:color="auto" w:fill="FFFFFF"/>
        </w:rPr>
        <w:t>,</w:t>
      </w:r>
      <w:r w:rsidR="00E648D9" w:rsidRPr="00070AB9">
        <w:rPr>
          <w:rFonts w:ascii="Times New Roman" w:eastAsia="Calibri" w:hAnsi="Times New Roman" w:cs="Times New Roman"/>
          <w:color w:val="000000" w:themeColor="text1"/>
          <w:kern w:val="2"/>
          <w:shd w:val="clear" w:color="auto" w:fill="FFFFFF"/>
        </w:rPr>
        <w:t xml:space="preserve"> displayed strong growth, while some other segments like alc</w:t>
      </w:r>
      <w:r w:rsidR="00073084" w:rsidRPr="00070AB9">
        <w:rPr>
          <w:rFonts w:ascii="Times New Roman" w:eastAsia="Calibri" w:hAnsi="Times New Roman" w:cs="Times New Roman"/>
          <w:color w:val="000000" w:themeColor="text1"/>
          <w:kern w:val="2"/>
          <w:shd w:val="clear" w:color="auto" w:fill="FFFFFF"/>
        </w:rPr>
        <w:t xml:space="preserve">ohol and tobacco, </w:t>
      </w:r>
      <w:r w:rsidR="00E648D9" w:rsidRPr="00070AB9">
        <w:rPr>
          <w:rFonts w:ascii="Times New Roman" w:eastAsia="Calibri" w:hAnsi="Times New Roman" w:cs="Times New Roman"/>
          <w:color w:val="000000" w:themeColor="text1"/>
          <w:kern w:val="2"/>
          <w:shd w:val="clear" w:color="auto" w:fill="FFFFFF"/>
        </w:rPr>
        <w:t xml:space="preserve">displayed declines over time. </w:t>
      </w:r>
      <w:r w:rsidR="002469C8" w:rsidRPr="00070AB9">
        <w:rPr>
          <w:rFonts w:ascii="Times New Roman" w:eastAsia="Calibri" w:hAnsi="Times New Roman" w:cs="Times New Roman"/>
          <w:color w:val="000000" w:themeColor="text1"/>
          <w:kern w:val="2"/>
          <w:shd w:val="clear" w:color="auto" w:fill="FFFFFF"/>
        </w:rPr>
        <w:t>In addition, the utilisation of information and communication technologies by the consumer goods brands has been relatively limited in consumer relations and big data dimensions. A major structural barrier in the relationship has bee</w:t>
      </w:r>
      <w:r w:rsidR="00D72C8B" w:rsidRPr="00070AB9">
        <w:rPr>
          <w:rFonts w:ascii="Times New Roman" w:eastAsia="Calibri" w:hAnsi="Times New Roman" w:cs="Times New Roman"/>
          <w:color w:val="000000" w:themeColor="text1"/>
          <w:kern w:val="2"/>
          <w:shd w:val="clear" w:color="auto" w:fill="FFFFFF"/>
        </w:rPr>
        <w:t>n</w:t>
      </w:r>
      <w:r w:rsidR="002469C8" w:rsidRPr="00070AB9">
        <w:rPr>
          <w:rFonts w:ascii="Times New Roman" w:eastAsia="Calibri" w:hAnsi="Times New Roman" w:cs="Times New Roman"/>
          <w:color w:val="000000" w:themeColor="text1"/>
          <w:kern w:val="2"/>
          <w:shd w:val="clear" w:color="auto" w:fill="FFFFFF"/>
        </w:rPr>
        <w:t xml:space="preserve"> the intermediary role of retailers </w:t>
      </w:r>
      <w:r w:rsidR="00D72C8B" w:rsidRPr="00070AB9">
        <w:rPr>
          <w:rFonts w:ascii="Times New Roman" w:eastAsia="Calibri" w:hAnsi="Times New Roman" w:cs="Times New Roman"/>
          <w:color w:val="000000" w:themeColor="text1"/>
          <w:kern w:val="2"/>
          <w:shd w:val="clear" w:color="auto" w:fill="FFFFFF"/>
        </w:rPr>
        <w:t xml:space="preserve">between consumer goods and brands. The retailers use extensive consumer data in terms of personal information and purchasing behaviours. </w:t>
      </w:r>
      <w:r w:rsidR="00CE4B23" w:rsidRPr="00070AB9">
        <w:rPr>
          <w:rFonts w:ascii="Times New Roman" w:eastAsia="Calibri" w:hAnsi="Times New Roman" w:cs="Times New Roman"/>
          <w:color w:val="000000" w:themeColor="text1"/>
          <w:kern w:val="2"/>
          <w:shd w:val="clear" w:color="auto" w:fill="FFFFFF"/>
        </w:rPr>
        <w:t>Therefore, the winning model should try to eliminate this barrier and create direct links between the brands and consumers.</w:t>
      </w:r>
    </w:p>
    <w:p w14:paraId="27D4CC80" w14:textId="76310143" w:rsidR="00CE4B23" w:rsidRPr="00070AB9" w:rsidRDefault="00CE4B23" w:rsidP="00FD5A3E">
      <w:pPr>
        <w:pStyle w:val="OBEBody"/>
        <w:rPr>
          <w:rFonts w:ascii="Times New Roman" w:eastAsia="Calibri" w:hAnsi="Times New Roman" w:cs="Times New Roman"/>
          <w:color w:val="000000" w:themeColor="text1"/>
          <w:kern w:val="2"/>
          <w:shd w:val="clear" w:color="auto" w:fill="FFFFFF"/>
        </w:rPr>
      </w:pPr>
      <w:r w:rsidRPr="00070AB9">
        <w:rPr>
          <w:rFonts w:ascii="Times New Roman" w:eastAsia="Calibri" w:hAnsi="Times New Roman" w:cs="Times New Roman"/>
          <w:color w:val="000000" w:themeColor="text1"/>
          <w:kern w:val="2"/>
          <w:shd w:val="clear" w:color="auto" w:fill="FFFFFF"/>
        </w:rPr>
        <w:t>The quantitative analysis shows that in the UK, the consumer goods sector displayed a growth rate very close to the GDP growth. However, there have been significant differences between sub-categories. Clothing and footwear displayed very large growth rates</w:t>
      </w:r>
      <w:r w:rsidR="008368EC" w:rsidRPr="00070AB9">
        <w:rPr>
          <w:rFonts w:ascii="Times New Roman" w:eastAsia="Calibri" w:hAnsi="Times New Roman" w:cs="Times New Roman"/>
          <w:color w:val="000000" w:themeColor="text1"/>
          <w:kern w:val="2"/>
          <w:shd w:val="clear" w:color="auto" w:fill="FFFFFF"/>
        </w:rPr>
        <w:t>,</w:t>
      </w:r>
      <w:r w:rsidRPr="00070AB9">
        <w:rPr>
          <w:rFonts w:ascii="Times New Roman" w:eastAsia="Calibri" w:hAnsi="Times New Roman" w:cs="Times New Roman"/>
          <w:color w:val="000000" w:themeColor="text1"/>
          <w:kern w:val="2"/>
          <w:shd w:val="clear" w:color="auto" w:fill="FFFFFF"/>
        </w:rPr>
        <w:t xml:space="preserve"> while the size of </w:t>
      </w:r>
      <w:r w:rsidR="008368EC" w:rsidRPr="00070AB9">
        <w:rPr>
          <w:rFonts w:ascii="Times New Roman" w:eastAsia="Calibri" w:hAnsi="Times New Roman" w:cs="Times New Roman"/>
          <w:color w:val="000000" w:themeColor="text1"/>
          <w:kern w:val="2"/>
          <w:shd w:val="clear" w:color="auto" w:fill="FFFFFF"/>
        </w:rPr>
        <w:t xml:space="preserve">the </w:t>
      </w:r>
      <w:r w:rsidRPr="00070AB9">
        <w:rPr>
          <w:rFonts w:ascii="Times New Roman" w:eastAsia="Calibri" w:hAnsi="Times New Roman" w:cs="Times New Roman"/>
          <w:color w:val="000000" w:themeColor="text1"/>
          <w:kern w:val="2"/>
          <w:shd w:val="clear" w:color="auto" w:fill="FFFFFF"/>
        </w:rPr>
        <w:t xml:space="preserve">alcohol and tobacco sector declined in the last two decades. The correlation and regression analyses showed that </w:t>
      </w:r>
      <w:r w:rsidR="008368EC" w:rsidRPr="00070AB9">
        <w:rPr>
          <w:rFonts w:ascii="Times New Roman" w:eastAsia="Calibri" w:hAnsi="Times New Roman" w:cs="Times New Roman"/>
          <w:color w:val="000000" w:themeColor="text1"/>
          <w:kern w:val="2"/>
          <w:shd w:val="clear" w:color="auto" w:fill="FFFFFF"/>
        </w:rPr>
        <w:t xml:space="preserve">GDP and consumer confidence affected the </w:t>
      </w:r>
      <w:r w:rsidR="008D5F38" w:rsidRPr="00070AB9">
        <w:rPr>
          <w:rFonts w:ascii="Times New Roman" w:eastAsia="Calibri" w:hAnsi="Times New Roman" w:cs="Times New Roman"/>
          <w:color w:val="000000" w:themeColor="text1"/>
          <w:kern w:val="2"/>
          <w:shd w:val="clear" w:color="auto" w:fill="FFFFFF"/>
        </w:rPr>
        <w:t xml:space="preserve">sector positively, whereas the unemployment rate affected it negatively. Then, the qualitative discussions showed that two strategies of </w:t>
      </w:r>
      <w:proofErr w:type="spellStart"/>
      <w:r w:rsidR="008D5F38" w:rsidRPr="00070AB9">
        <w:rPr>
          <w:rFonts w:ascii="Times New Roman" w:eastAsia="Calibri" w:hAnsi="Times New Roman" w:cs="Times New Roman"/>
          <w:color w:val="000000" w:themeColor="text1"/>
          <w:kern w:val="2"/>
          <w:shd w:val="clear" w:color="auto" w:fill="FFFFFF"/>
        </w:rPr>
        <w:t>servitisation</w:t>
      </w:r>
      <w:proofErr w:type="spellEnd"/>
      <w:r w:rsidR="008D5F38" w:rsidRPr="00070AB9">
        <w:rPr>
          <w:rFonts w:ascii="Times New Roman" w:eastAsia="Calibri" w:hAnsi="Times New Roman" w:cs="Times New Roman"/>
          <w:color w:val="000000" w:themeColor="text1"/>
          <w:kern w:val="2"/>
          <w:shd w:val="clear" w:color="auto" w:fill="FFFFFF"/>
        </w:rPr>
        <w:t xml:space="preserve"> of the consumer prod</w:t>
      </w:r>
      <w:r w:rsidR="002D07A2" w:rsidRPr="00070AB9">
        <w:rPr>
          <w:rFonts w:ascii="Times New Roman" w:eastAsia="Calibri" w:hAnsi="Times New Roman" w:cs="Times New Roman"/>
          <w:color w:val="000000" w:themeColor="text1"/>
          <w:kern w:val="2"/>
          <w:shd w:val="clear" w:color="auto" w:fill="FFFFFF"/>
        </w:rPr>
        <w:t>uc</w:t>
      </w:r>
      <w:r w:rsidR="008D5F38" w:rsidRPr="00070AB9">
        <w:rPr>
          <w:rFonts w:ascii="Times New Roman" w:eastAsia="Calibri" w:hAnsi="Times New Roman" w:cs="Times New Roman"/>
          <w:color w:val="000000" w:themeColor="text1"/>
          <w:kern w:val="2"/>
          <w:shd w:val="clear" w:color="auto" w:fill="FFFFFF"/>
        </w:rPr>
        <w:t xml:space="preserve">ts and the establishment of big data analytics are the most feasible strategies to create value for the sector and brands. </w:t>
      </w:r>
    </w:p>
    <w:p w14:paraId="411D8E7F" w14:textId="5CFE5895" w:rsidR="00285F09" w:rsidRPr="00070AB9" w:rsidRDefault="00285F09" w:rsidP="00310550">
      <w:pPr>
        <w:pStyle w:val="OBEBody"/>
        <w:rPr>
          <w:rFonts w:ascii="Times New Roman" w:eastAsia="Calibri" w:hAnsi="Times New Roman" w:cs="Times New Roman"/>
          <w:b/>
          <w:bCs/>
          <w:color w:val="000000" w:themeColor="text1"/>
          <w:kern w:val="2"/>
          <w:shd w:val="clear" w:color="auto" w:fill="FFFFFF"/>
        </w:rPr>
      </w:pPr>
    </w:p>
    <w:p w14:paraId="2499242C" w14:textId="77777777" w:rsidR="00285F09" w:rsidRPr="00070AB9" w:rsidRDefault="00285F09" w:rsidP="00310550">
      <w:pPr>
        <w:pStyle w:val="OBEBody"/>
        <w:rPr>
          <w:rFonts w:ascii="Times New Roman" w:eastAsia="Calibri" w:hAnsi="Times New Roman" w:cs="Times New Roman"/>
          <w:b/>
          <w:bCs/>
          <w:color w:val="000000" w:themeColor="text1"/>
          <w:kern w:val="2"/>
          <w:shd w:val="clear" w:color="auto" w:fill="FFFFFF"/>
        </w:rPr>
      </w:pPr>
    </w:p>
    <w:p w14:paraId="4B069871" w14:textId="77777777" w:rsidR="00070AB9" w:rsidRDefault="00070AB9" w:rsidP="0020494B">
      <w:pPr>
        <w:pStyle w:val="OBESubtitle1sttier"/>
        <w:rPr>
          <w:rFonts w:ascii="Times New Roman" w:hAnsi="Times New Roman" w:cs="Times New Roman"/>
          <w:b/>
          <w:bCs/>
          <w:color w:val="000000" w:themeColor="text1"/>
          <w:shd w:val="clear" w:color="auto" w:fill="FFFFFF"/>
        </w:rPr>
      </w:pPr>
    </w:p>
    <w:p w14:paraId="0CC5D725" w14:textId="77777777" w:rsidR="00070AB9" w:rsidRDefault="00070AB9" w:rsidP="0020494B">
      <w:pPr>
        <w:pStyle w:val="OBESubtitle1sttier"/>
        <w:rPr>
          <w:rFonts w:ascii="Times New Roman" w:hAnsi="Times New Roman" w:cs="Times New Roman"/>
          <w:b/>
          <w:bCs/>
          <w:color w:val="000000" w:themeColor="text1"/>
          <w:shd w:val="clear" w:color="auto" w:fill="FFFFFF"/>
        </w:rPr>
      </w:pPr>
    </w:p>
    <w:p w14:paraId="036FB871" w14:textId="5712F174" w:rsidR="0020494B" w:rsidRPr="00070AB9" w:rsidRDefault="0020494B" w:rsidP="0020494B">
      <w:pPr>
        <w:pStyle w:val="OBESubtitle1sttier"/>
        <w:rPr>
          <w:rFonts w:ascii="Times New Roman" w:hAnsi="Times New Roman" w:cs="Times New Roman"/>
          <w:b/>
          <w:bCs/>
          <w:color w:val="000000" w:themeColor="text1"/>
          <w:sz w:val="28"/>
          <w:szCs w:val="28"/>
          <w:shd w:val="clear" w:color="auto" w:fill="FFFFFF"/>
        </w:rPr>
      </w:pPr>
      <w:r w:rsidRPr="00070AB9">
        <w:rPr>
          <w:rFonts w:ascii="Times New Roman" w:hAnsi="Times New Roman" w:cs="Times New Roman"/>
          <w:b/>
          <w:bCs/>
          <w:color w:val="000000" w:themeColor="text1"/>
          <w:sz w:val="28"/>
          <w:szCs w:val="28"/>
          <w:shd w:val="clear" w:color="auto" w:fill="FFFFFF"/>
        </w:rPr>
        <w:lastRenderedPageBreak/>
        <w:t>References:</w:t>
      </w:r>
    </w:p>
    <w:p w14:paraId="70037A26"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Abuhashesh</w:t>
      </w:r>
      <w:proofErr w:type="spellEnd"/>
      <w:r w:rsidRPr="00070AB9">
        <w:rPr>
          <w:rFonts w:ascii="Times New Roman" w:hAnsi="Times New Roman"/>
          <w:color w:val="000000" w:themeColor="text1"/>
          <w:shd w:val="clear" w:color="auto" w:fill="FFFFFF"/>
          <w:lang w:val="en-GB"/>
        </w:rPr>
        <w:t>, M.Y., 2014. Integration of social media in businesses. International Journal of Business and Social Science, 5(8).</w:t>
      </w:r>
    </w:p>
    <w:p w14:paraId="5071FF5C"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Allen, A.L., 2016. Protecting one's own privacy in a big data economy. Harv. L. Rev. F., 130, p.71.</w:t>
      </w:r>
    </w:p>
    <w:p w14:paraId="405E5A7E"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Baines, T. and Lightfoot, H.W., 2014.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of the manufacturing firm. International Journal of Operations &amp; Production Management.</w:t>
      </w:r>
    </w:p>
    <w:p w14:paraId="7EC26717"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Broström</w:t>
      </w:r>
      <w:proofErr w:type="spellEnd"/>
      <w:r w:rsidRPr="00070AB9">
        <w:rPr>
          <w:rFonts w:ascii="Times New Roman" w:hAnsi="Times New Roman"/>
          <w:color w:val="000000" w:themeColor="text1"/>
          <w:shd w:val="clear" w:color="auto" w:fill="FFFFFF"/>
          <w:lang w:val="en-GB"/>
        </w:rPr>
        <w:t xml:space="preserve">, J. and </w:t>
      </w:r>
      <w:proofErr w:type="spellStart"/>
      <w:r w:rsidRPr="00070AB9">
        <w:rPr>
          <w:rFonts w:ascii="Times New Roman" w:hAnsi="Times New Roman"/>
          <w:color w:val="000000" w:themeColor="text1"/>
          <w:shd w:val="clear" w:color="auto" w:fill="FFFFFF"/>
          <w:lang w:val="en-GB"/>
        </w:rPr>
        <w:t>Halvarsson</w:t>
      </w:r>
      <w:proofErr w:type="spellEnd"/>
      <w:r w:rsidRPr="00070AB9">
        <w:rPr>
          <w:rFonts w:ascii="Times New Roman" w:hAnsi="Times New Roman"/>
          <w:color w:val="000000" w:themeColor="text1"/>
          <w:shd w:val="clear" w:color="auto" w:fill="FFFFFF"/>
          <w:lang w:val="en-GB"/>
        </w:rPr>
        <w:t xml:space="preserve">, J., 2016.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Challenges: exploring the business-to-consumer context.</w:t>
      </w:r>
    </w:p>
    <w:p w14:paraId="02F9DCF6"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Chen, Y., Fay, S. and Wang, Q., 2011. The role of marketing in social media: How online consumer reviews evolve. Journal of interactive marketing, 25(2), pp.85-94.</w:t>
      </w:r>
    </w:p>
    <w:p w14:paraId="469E89BB"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t>Deloitte, 2020. Consumer product trends: Navigating 2020.  Available at: https://www2.deloitte.com/content/dam/Deloitte/uk/Documents/consumer-business/deloitte-uk-cpg-trends-2016.pdf (Accessed 06 April 2020).</w:t>
      </w:r>
    </w:p>
    <w:p w14:paraId="4B16A5E6"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Elvy</w:t>
      </w:r>
      <w:proofErr w:type="spellEnd"/>
      <w:r w:rsidRPr="00070AB9">
        <w:rPr>
          <w:rFonts w:ascii="Times New Roman" w:hAnsi="Times New Roman"/>
          <w:color w:val="000000" w:themeColor="text1"/>
          <w:shd w:val="clear" w:color="auto" w:fill="FFFFFF"/>
          <w:lang w:val="en-GB"/>
        </w:rPr>
        <w:t>, S.A., 2017. Paying for privacy and the personal data economy. Colum. L. Rev., 117, p.1369.</w:t>
      </w:r>
    </w:p>
    <w:p w14:paraId="3EE746AA"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Füller</w:t>
      </w:r>
      <w:proofErr w:type="spellEnd"/>
      <w:r w:rsidRPr="00070AB9">
        <w:rPr>
          <w:rFonts w:ascii="Times New Roman" w:hAnsi="Times New Roman"/>
          <w:color w:val="000000" w:themeColor="text1"/>
          <w:shd w:val="clear" w:color="auto" w:fill="FFFFFF"/>
          <w:lang w:val="en-GB"/>
        </w:rPr>
        <w:t xml:space="preserve">, J., </w:t>
      </w:r>
      <w:proofErr w:type="spellStart"/>
      <w:r w:rsidRPr="00070AB9">
        <w:rPr>
          <w:rFonts w:ascii="Times New Roman" w:hAnsi="Times New Roman"/>
          <w:color w:val="000000" w:themeColor="text1"/>
          <w:shd w:val="clear" w:color="auto" w:fill="FFFFFF"/>
          <w:lang w:val="en-GB"/>
        </w:rPr>
        <w:t>MüHlbacher</w:t>
      </w:r>
      <w:proofErr w:type="spellEnd"/>
      <w:r w:rsidRPr="00070AB9">
        <w:rPr>
          <w:rFonts w:ascii="Times New Roman" w:hAnsi="Times New Roman"/>
          <w:color w:val="000000" w:themeColor="text1"/>
          <w:shd w:val="clear" w:color="auto" w:fill="FFFFFF"/>
          <w:lang w:val="en-GB"/>
        </w:rPr>
        <w:t xml:space="preserve">, H., </w:t>
      </w:r>
      <w:proofErr w:type="spellStart"/>
      <w:r w:rsidRPr="00070AB9">
        <w:rPr>
          <w:rFonts w:ascii="Times New Roman" w:hAnsi="Times New Roman"/>
          <w:color w:val="000000" w:themeColor="text1"/>
          <w:shd w:val="clear" w:color="auto" w:fill="FFFFFF"/>
          <w:lang w:val="en-GB"/>
        </w:rPr>
        <w:t>Matzler</w:t>
      </w:r>
      <w:proofErr w:type="spellEnd"/>
      <w:r w:rsidRPr="00070AB9">
        <w:rPr>
          <w:rFonts w:ascii="Times New Roman" w:hAnsi="Times New Roman"/>
          <w:color w:val="000000" w:themeColor="text1"/>
          <w:shd w:val="clear" w:color="auto" w:fill="FFFFFF"/>
          <w:lang w:val="en-GB"/>
        </w:rPr>
        <w:t xml:space="preserve">, K. and </w:t>
      </w:r>
      <w:proofErr w:type="spellStart"/>
      <w:r w:rsidRPr="00070AB9">
        <w:rPr>
          <w:rFonts w:ascii="Times New Roman" w:hAnsi="Times New Roman"/>
          <w:color w:val="000000" w:themeColor="text1"/>
          <w:shd w:val="clear" w:color="auto" w:fill="FFFFFF"/>
          <w:lang w:val="en-GB"/>
        </w:rPr>
        <w:t>Jawecki</w:t>
      </w:r>
      <w:proofErr w:type="spellEnd"/>
      <w:r w:rsidRPr="00070AB9">
        <w:rPr>
          <w:rFonts w:ascii="Times New Roman" w:hAnsi="Times New Roman"/>
          <w:color w:val="000000" w:themeColor="text1"/>
          <w:shd w:val="clear" w:color="auto" w:fill="FFFFFF"/>
          <w:lang w:val="en-GB"/>
        </w:rPr>
        <w:t>, G., 2009. Consumer empowerment through internet-based co-creation. Journal of management information systems, 26(3), pp.71-102.</w:t>
      </w:r>
    </w:p>
    <w:p w14:paraId="498EC6FE"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tr-TR"/>
        </w:rPr>
        <w:t>Hair, J.F., 2015. Essentials of business research methods. ME Sharpe.</w:t>
      </w:r>
      <w:r w:rsidRPr="00070AB9">
        <w:rPr>
          <w:rFonts w:ascii="Times New Roman" w:hAnsi="Times New Roman"/>
          <w:color w:val="000000" w:themeColor="text1"/>
          <w:shd w:val="clear" w:color="auto" w:fill="FFFFFF"/>
          <w:lang w:val="en-GB"/>
        </w:rPr>
        <w:t xml:space="preserve"> </w:t>
      </w:r>
    </w:p>
    <w:p w14:paraId="0574D2F2"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Hansen, J.M. and Levin, M.A., 2016. The effect of apathetic motivation on employees' intentions to use social media for businesses. Journal of Business Research, 69(12), pp.6058-6066.</w:t>
      </w:r>
    </w:p>
    <w:p w14:paraId="6DCD4B21"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He, W., Wang, F.K., Chen, Y. and </w:t>
      </w:r>
      <w:proofErr w:type="spellStart"/>
      <w:r w:rsidRPr="00070AB9">
        <w:rPr>
          <w:rFonts w:ascii="Times New Roman" w:hAnsi="Times New Roman"/>
          <w:color w:val="000000" w:themeColor="text1"/>
          <w:shd w:val="clear" w:color="auto" w:fill="FFFFFF"/>
          <w:lang w:val="en-GB"/>
        </w:rPr>
        <w:t>Zha</w:t>
      </w:r>
      <w:proofErr w:type="spellEnd"/>
      <w:r w:rsidRPr="00070AB9">
        <w:rPr>
          <w:rFonts w:ascii="Times New Roman" w:hAnsi="Times New Roman"/>
          <w:color w:val="000000" w:themeColor="text1"/>
          <w:shd w:val="clear" w:color="auto" w:fill="FFFFFF"/>
          <w:lang w:val="en-GB"/>
        </w:rPr>
        <w:t>, S., 2017. An exploratory investigation of social media adoption by small businesses. Information Technology and Management, 18(2), pp.149-160.</w:t>
      </w:r>
    </w:p>
    <w:p w14:paraId="77C81A2F"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Kietzmann</w:t>
      </w:r>
      <w:proofErr w:type="spellEnd"/>
      <w:r w:rsidRPr="00070AB9">
        <w:rPr>
          <w:rFonts w:ascii="Times New Roman" w:hAnsi="Times New Roman"/>
          <w:color w:val="000000" w:themeColor="text1"/>
          <w:shd w:val="clear" w:color="auto" w:fill="FFFFFF"/>
          <w:lang w:val="en-GB"/>
        </w:rPr>
        <w:t xml:space="preserve">, J.H., </w:t>
      </w:r>
      <w:proofErr w:type="spellStart"/>
      <w:r w:rsidRPr="00070AB9">
        <w:rPr>
          <w:rFonts w:ascii="Times New Roman" w:hAnsi="Times New Roman"/>
          <w:color w:val="000000" w:themeColor="text1"/>
          <w:shd w:val="clear" w:color="auto" w:fill="FFFFFF"/>
          <w:lang w:val="en-GB"/>
        </w:rPr>
        <w:t>Hermkens</w:t>
      </w:r>
      <w:proofErr w:type="spellEnd"/>
      <w:r w:rsidRPr="00070AB9">
        <w:rPr>
          <w:rFonts w:ascii="Times New Roman" w:hAnsi="Times New Roman"/>
          <w:color w:val="000000" w:themeColor="text1"/>
          <w:shd w:val="clear" w:color="auto" w:fill="FFFFFF"/>
          <w:lang w:val="en-GB"/>
        </w:rPr>
        <w:t>, K., McCarthy, I.P. and Silvestre, B.S., 2011. Social media? Get serious! Understanding the functional building blocks of social media. Business horizons, 54(3), pp.241-251.</w:t>
      </w:r>
    </w:p>
    <w:p w14:paraId="52A17E2D"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t xml:space="preserve">KPMG, 2018. KPMG Organic Growth Barometer 2018. Available at: https://home.kpmg/uk/en/home/insights/2018/06/kpmg-organic-growth-barometer-2018.html (Accessed 06 April 2020). </w:t>
      </w:r>
    </w:p>
    <w:p w14:paraId="18725CFE"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Lammi</w:t>
      </w:r>
      <w:proofErr w:type="spellEnd"/>
      <w:r w:rsidRPr="00070AB9">
        <w:rPr>
          <w:rFonts w:ascii="Times New Roman" w:hAnsi="Times New Roman"/>
          <w:color w:val="000000" w:themeColor="text1"/>
          <w:shd w:val="clear" w:color="auto" w:fill="FFFFFF"/>
          <w:lang w:val="en-GB"/>
        </w:rPr>
        <w:t xml:space="preserve">, M. and </w:t>
      </w:r>
      <w:proofErr w:type="spellStart"/>
      <w:r w:rsidRPr="00070AB9">
        <w:rPr>
          <w:rFonts w:ascii="Times New Roman" w:hAnsi="Times New Roman"/>
          <w:color w:val="000000" w:themeColor="text1"/>
          <w:shd w:val="clear" w:color="auto" w:fill="FFFFFF"/>
          <w:lang w:val="en-GB"/>
        </w:rPr>
        <w:t>Pantzar</w:t>
      </w:r>
      <w:proofErr w:type="spellEnd"/>
      <w:r w:rsidRPr="00070AB9">
        <w:rPr>
          <w:rFonts w:ascii="Times New Roman" w:hAnsi="Times New Roman"/>
          <w:color w:val="000000" w:themeColor="text1"/>
          <w:shd w:val="clear" w:color="auto" w:fill="FFFFFF"/>
          <w:lang w:val="en-GB"/>
        </w:rPr>
        <w:t>, M., 2019. The data economy: How technological change has altered the role of the citizen-consumer. Technology in Society, 59, p.101157.</w:t>
      </w:r>
    </w:p>
    <w:p w14:paraId="76662B2D"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Lee, S., </w:t>
      </w:r>
      <w:proofErr w:type="spellStart"/>
      <w:r w:rsidRPr="00070AB9">
        <w:rPr>
          <w:rFonts w:ascii="Times New Roman" w:hAnsi="Times New Roman"/>
          <w:color w:val="000000" w:themeColor="text1"/>
          <w:shd w:val="clear" w:color="auto" w:fill="FFFFFF"/>
          <w:lang w:val="en-GB"/>
        </w:rPr>
        <w:t>Yoo</w:t>
      </w:r>
      <w:proofErr w:type="spellEnd"/>
      <w:r w:rsidRPr="00070AB9">
        <w:rPr>
          <w:rFonts w:ascii="Times New Roman" w:hAnsi="Times New Roman"/>
          <w:color w:val="000000" w:themeColor="text1"/>
          <w:shd w:val="clear" w:color="auto" w:fill="FFFFFF"/>
          <w:lang w:val="en-GB"/>
        </w:rPr>
        <w:t xml:space="preserve">, S. and Kim, D., 2016. When is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a profitable competitive </w:t>
      </w:r>
      <w:proofErr w:type="gramStart"/>
      <w:r w:rsidRPr="00070AB9">
        <w:rPr>
          <w:rFonts w:ascii="Times New Roman" w:hAnsi="Times New Roman"/>
          <w:color w:val="000000" w:themeColor="text1"/>
          <w:shd w:val="clear" w:color="auto" w:fill="FFFFFF"/>
          <w:lang w:val="en-GB"/>
        </w:rPr>
        <w:t>strategy?.</w:t>
      </w:r>
      <w:proofErr w:type="gramEnd"/>
      <w:r w:rsidRPr="00070AB9">
        <w:rPr>
          <w:rFonts w:ascii="Times New Roman" w:hAnsi="Times New Roman"/>
          <w:color w:val="000000" w:themeColor="text1"/>
          <w:shd w:val="clear" w:color="auto" w:fill="FFFFFF"/>
          <w:lang w:val="en-GB"/>
        </w:rPr>
        <w:t xml:space="preserve"> International Journal of Production Economics, 173, pp.43-53.</w:t>
      </w:r>
    </w:p>
    <w:p w14:paraId="4893524F"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lastRenderedPageBreak/>
        <w:t>Leeflang</w:t>
      </w:r>
      <w:proofErr w:type="spellEnd"/>
      <w:r w:rsidRPr="00070AB9">
        <w:rPr>
          <w:rFonts w:ascii="Times New Roman" w:hAnsi="Times New Roman"/>
          <w:color w:val="000000" w:themeColor="text1"/>
          <w:shd w:val="clear" w:color="auto" w:fill="FFFFFF"/>
          <w:lang w:val="en-GB"/>
        </w:rPr>
        <w:t xml:space="preserve">, P.S., </w:t>
      </w:r>
      <w:proofErr w:type="spellStart"/>
      <w:r w:rsidRPr="00070AB9">
        <w:rPr>
          <w:rFonts w:ascii="Times New Roman" w:hAnsi="Times New Roman"/>
          <w:color w:val="000000" w:themeColor="text1"/>
          <w:shd w:val="clear" w:color="auto" w:fill="FFFFFF"/>
          <w:lang w:val="en-GB"/>
        </w:rPr>
        <w:t>Verhoef</w:t>
      </w:r>
      <w:proofErr w:type="spellEnd"/>
      <w:r w:rsidRPr="00070AB9">
        <w:rPr>
          <w:rFonts w:ascii="Times New Roman" w:hAnsi="Times New Roman"/>
          <w:color w:val="000000" w:themeColor="text1"/>
          <w:shd w:val="clear" w:color="auto" w:fill="FFFFFF"/>
          <w:lang w:val="en-GB"/>
        </w:rPr>
        <w:t xml:space="preserve">, P.C., </w:t>
      </w:r>
      <w:proofErr w:type="spellStart"/>
      <w:r w:rsidRPr="00070AB9">
        <w:rPr>
          <w:rFonts w:ascii="Times New Roman" w:hAnsi="Times New Roman"/>
          <w:color w:val="000000" w:themeColor="text1"/>
          <w:shd w:val="clear" w:color="auto" w:fill="FFFFFF"/>
          <w:lang w:val="en-GB"/>
        </w:rPr>
        <w:t>Dahlström</w:t>
      </w:r>
      <w:proofErr w:type="spellEnd"/>
      <w:r w:rsidRPr="00070AB9">
        <w:rPr>
          <w:rFonts w:ascii="Times New Roman" w:hAnsi="Times New Roman"/>
          <w:color w:val="000000" w:themeColor="text1"/>
          <w:shd w:val="clear" w:color="auto" w:fill="FFFFFF"/>
          <w:lang w:val="en-GB"/>
        </w:rPr>
        <w:t xml:space="preserve">, P. and </w:t>
      </w:r>
      <w:proofErr w:type="spellStart"/>
      <w:r w:rsidRPr="00070AB9">
        <w:rPr>
          <w:rFonts w:ascii="Times New Roman" w:hAnsi="Times New Roman"/>
          <w:color w:val="000000" w:themeColor="text1"/>
          <w:shd w:val="clear" w:color="auto" w:fill="FFFFFF"/>
          <w:lang w:val="en-GB"/>
        </w:rPr>
        <w:t>Freundt</w:t>
      </w:r>
      <w:proofErr w:type="spellEnd"/>
      <w:r w:rsidRPr="00070AB9">
        <w:rPr>
          <w:rFonts w:ascii="Times New Roman" w:hAnsi="Times New Roman"/>
          <w:color w:val="000000" w:themeColor="text1"/>
          <w:shd w:val="clear" w:color="auto" w:fill="FFFFFF"/>
          <w:lang w:val="en-GB"/>
        </w:rPr>
        <w:t>, T., 2014. Challenges and solutions for marketing in a digital era. European management journal, 32(1), pp.1-12.</w:t>
      </w:r>
    </w:p>
    <w:p w14:paraId="56C98F5E"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t>Let’s Nurture, n.d. Consumer Goods: Digital Solutions. Available at: https://www.letsnurture.com/industry/consumer-goods.html (Accessed 07 April 2020).</w:t>
      </w:r>
    </w:p>
    <w:p w14:paraId="0D8DEDDB"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Mangold, W.G. and Smith, K.T., 2012. Selling to Millennials with online reviews. Business Horizons, 55(2), pp.141-153.</w:t>
      </w:r>
    </w:p>
    <w:p w14:paraId="18EAA2D5"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McCallum, Q.E. and Gleason, K., 2013. Business models for the data economy. O'Reilly Media, Inc.</w:t>
      </w:r>
    </w:p>
    <w:p w14:paraId="7C7588A9"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Neely, A., 2008. Exploring the financial consequences of the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of manufacturing. Operations management research, 1(2), pp.103-118.</w:t>
      </w:r>
    </w:p>
    <w:p w14:paraId="4408BFF1"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t xml:space="preserve">ONS, 2020a. Gross Domestic Product: chained volume measures: Seasonally adjusted £m. Available at: https://www.ons.gov.uk/economy/grossdomesticproductgdp/timeseries/abmi/qna (Accessed 08 April 2020). </w:t>
      </w:r>
    </w:p>
    <w:p w14:paraId="1EB866D5"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t>ONS, 2020b. Consumer trends: chained volume measure, seasonally adjusted. Available at: https://www.ons.gov.uk/economy/nationalaccounts/satelliteaccounts/datasets/consumertrendschainedvolumemeasureseasonallyadjusted (Accessed 08 April 2020).</w:t>
      </w:r>
    </w:p>
    <w:p w14:paraId="234DAA89"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Opher</w:t>
      </w:r>
      <w:proofErr w:type="spellEnd"/>
      <w:r w:rsidRPr="00070AB9">
        <w:rPr>
          <w:rFonts w:ascii="Times New Roman" w:hAnsi="Times New Roman"/>
          <w:color w:val="000000" w:themeColor="text1"/>
          <w:shd w:val="clear" w:color="auto" w:fill="FFFFFF"/>
          <w:lang w:val="en-GB"/>
        </w:rPr>
        <w:t xml:space="preserve">, A., Chou, A., </w:t>
      </w:r>
      <w:proofErr w:type="spellStart"/>
      <w:r w:rsidRPr="00070AB9">
        <w:rPr>
          <w:rFonts w:ascii="Times New Roman" w:hAnsi="Times New Roman"/>
          <w:color w:val="000000" w:themeColor="text1"/>
          <w:shd w:val="clear" w:color="auto" w:fill="FFFFFF"/>
          <w:lang w:val="en-GB"/>
        </w:rPr>
        <w:t>Onda</w:t>
      </w:r>
      <w:proofErr w:type="spellEnd"/>
      <w:r w:rsidRPr="00070AB9">
        <w:rPr>
          <w:rFonts w:ascii="Times New Roman" w:hAnsi="Times New Roman"/>
          <w:color w:val="000000" w:themeColor="text1"/>
          <w:shd w:val="clear" w:color="auto" w:fill="FFFFFF"/>
          <w:lang w:val="en-GB"/>
        </w:rPr>
        <w:t xml:space="preserve">, A. and </w:t>
      </w:r>
      <w:proofErr w:type="spellStart"/>
      <w:r w:rsidRPr="00070AB9">
        <w:rPr>
          <w:rFonts w:ascii="Times New Roman" w:hAnsi="Times New Roman"/>
          <w:color w:val="000000" w:themeColor="text1"/>
          <w:shd w:val="clear" w:color="auto" w:fill="FFFFFF"/>
          <w:lang w:val="en-GB"/>
        </w:rPr>
        <w:t>Sounderrajan</w:t>
      </w:r>
      <w:proofErr w:type="spellEnd"/>
      <w:r w:rsidRPr="00070AB9">
        <w:rPr>
          <w:rFonts w:ascii="Times New Roman" w:hAnsi="Times New Roman"/>
          <w:color w:val="000000" w:themeColor="text1"/>
          <w:shd w:val="clear" w:color="auto" w:fill="FFFFFF"/>
          <w:lang w:val="en-GB"/>
        </w:rPr>
        <w:t>, K., 2016. The rise of the data economy: driving value through internet of things data monetization. IBM Corporation: Somers, NY, USA.</w:t>
      </w:r>
    </w:p>
    <w:p w14:paraId="7594033D"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Otto, B. and </w:t>
      </w:r>
      <w:proofErr w:type="spellStart"/>
      <w:r w:rsidRPr="00070AB9">
        <w:rPr>
          <w:rFonts w:ascii="Times New Roman" w:hAnsi="Times New Roman"/>
          <w:color w:val="000000" w:themeColor="text1"/>
          <w:shd w:val="clear" w:color="auto" w:fill="FFFFFF"/>
          <w:lang w:val="en-GB"/>
        </w:rPr>
        <w:t>Aier</w:t>
      </w:r>
      <w:proofErr w:type="spellEnd"/>
      <w:r w:rsidRPr="00070AB9">
        <w:rPr>
          <w:rFonts w:ascii="Times New Roman" w:hAnsi="Times New Roman"/>
          <w:color w:val="000000" w:themeColor="text1"/>
          <w:shd w:val="clear" w:color="auto" w:fill="FFFFFF"/>
          <w:lang w:val="en-GB"/>
        </w:rPr>
        <w:t>, S., 2013. Business models in the data economy: A case study from the business partner data domain.</w:t>
      </w:r>
    </w:p>
    <w:p w14:paraId="4A4D2136"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Perrin, A., 2015. Social media usage. Pew research </w:t>
      </w:r>
      <w:proofErr w:type="spellStart"/>
      <w:r w:rsidRPr="00070AB9">
        <w:rPr>
          <w:rFonts w:ascii="Times New Roman" w:hAnsi="Times New Roman"/>
          <w:color w:val="000000" w:themeColor="text1"/>
          <w:shd w:val="clear" w:color="auto" w:fill="FFFFFF"/>
          <w:lang w:val="en-GB"/>
        </w:rPr>
        <w:t>center</w:t>
      </w:r>
      <w:proofErr w:type="spellEnd"/>
      <w:r w:rsidRPr="00070AB9">
        <w:rPr>
          <w:rFonts w:ascii="Times New Roman" w:hAnsi="Times New Roman"/>
          <w:color w:val="000000" w:themeColor="text1"/>
          <w:shd w:val="clear" w:color="auto" w:fill="FFFFFF"/>
          <w:lang w:val="en-GB"/>
        </w:rPr>
        <w:t>, pp.52-68.</w:t>
      </w:r>
    </w:p>
    <w:p w14:paraId="0BFFFDBF"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Pires, G., Rita, P. and Stanton, J., 2010. Assessing relevancy of ICT driven consumer empowerment for business.</w:t>
      </w:r>
    </w:p>
    <w:p w14:paraId="76B635CA"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Roy, R., Shehab, E., Tiwari, A., Baines, T.S., Lightfoot, H.W., Benedettini, O. and Kay, J.M., 2009. The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of manufacturing. Journal of manufacturing technology management.</w:t>
      </w:r>
    </w:p>
    <w:p w14:paraId="473A896F"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Saunders, M.N., Lewis, P., Thornhill, A. and Bristow, A., 2015. Understanding research philosophy and approaches to theory development.</w:t>
      </w:r>
    </w:p>
    <w:p w14:paraId="2BB73553"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Saunders, M.N.K., Lewis, P. and Thornhill, A., 2019. Research Methods for Business Students. 8th </w:t>
      </w:r>
      <w:proofErr w:type="spellStart"/>
      <w:r w:rsidRPr="00070AB9">
        <w:rPr>
          <w:rFonts w:ascii="Times New Roman" w:hAnsi="Times New Roman"/>
          <w:color w:val="000000" w:themeColor="text1"/>
          <w:shd w:val="clear" w:color="auto" w:fill="FFFFFF"/>
          <w:lang w:val="en-GB"/>
        </w:rPr>
        <w:t>edn</w:t>
      </w:r>
      <w:proofErr w:type="spellEnd"/>
      <w:r w:rsidRPr="00070AB9">
        <w:rPr>
          <w:rFonts w:ascii="Times New Roman" w:hAnsi="Times New Roman"/>
          <w:color w:val="000000" w:themeColor="text1"/>
          <w:shd w:val="clear" w:color="auto" w:fill="FFFFFF"/>
          <w:lang w:val="en-GB"/>
        </w:rPr>
        <w:t>. Harlow.</w:t>
      </w:r>
    </w:p>
    <w:p w14:paraId="2E858E5D"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lang w:val="tr-TR"/>
        </w:rPr>
        <w:t xml:space="preserve"> </w:t>
      </w:r>
      <w:r w:rsidRPr="00070AB9">
        <w:rPr>
          <w:rFonts w:ascii="Times New Roman" w:hAnsi="Times New Roman"/>
          <w:color w:val="000000" w:themeColor="text1"/>
          <w:shd w:val="clear" w:color="auto" w:fill="FFFFFF"/>
        </w:rPr>
        <w:t xml:space="preserve">Strong, C., 2014. The Future for Consumer Goods in the Data Economy. Wired. AVAİLABLE AT: https://www.wired.com/insights/2014/12/consumer-goods-data-economy/ (Accessed 07 April 2020). </w:t>
      </w:r>
    </w:p>
    <w:p w14:paraId="54B35E20" w14:textId="77777777" w:rsidR="0020494B" w:rsidRPr="00070AB9" w:rsidRDefault="0020494B" w:rsidP="0020494B">
      <w:pPr>
        <w:pStyle w:val="OBEBibliography"/>
        <w:rPr>
          <w:rFonts w:ascii="Times New Roman" w:hAnsi="Times New Roman"/>
          <w:color w:val="000000" w:themeColor="text1"/>
          <w:shd w:val="clear" w:color="auto" w:fill="FFFFFF"/>
        </w:rPr>
      </w:pPr>
      <w:r w:rsidRPr="00070AB9">
        <w:rPr>
          <w:rFonts w:ascii="Times New Roman" w:hAnsi="Times New Roman"/>
          <w:color w:val="000000" w:themeColor="text1"/>
          <w:shd w:val="clear" w:color="auto" w:fill="FFFFFF"/>
        </w:rPr>
        <w:lastRenderedPageBreak/>
        <w:t xml:space="preserve">UK Parliament, 2017. Consumer Goods Sector Report. Available at: https://www.parliament.uk/documents/commons-committees/Exiting-the-European-Union/17-19/Sectoral%20Analyses/9-Sectoral-Analyses-Consumer-Goods-Report.pdf (Accessed 07 April 2020). </w:t>
      </w:r>
    </w:p>
    <w:p w14:paraId="002ED163"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Vandermerwe</w:t>
      </w:r>
      <w:proofErr w:type="spellEnd"/>
      <w:r w:rsidRPr="00070AB9">
        <w:rPr>
          <w:rFonts w:ascii="Times New Roman" w:hAnsi="Times New Roman"/>
          <w:color w:val="000000" w:themeColor="text1"/>
          <w:shd w:val="clear" w:color="auto" w:fill="FFFFFF"/>
          <w:lang w:val="en-GB"/>
        </w:rPr>
        <w:t xml:space="preserve">, S. and Rada, J., 1988. </w:t>
      </w:r>
      <w:proofErr w:type="spellStart"/>
      <w:r w:rsidRPr="00070AB9">
        <w:rPr>
          <w:rFonts w:ascii="Times New Roman" w:hAnsi="Times New Roman"/>
          <w:color w:val="000000" w:themeColor="text1"/>
          <w:shd w:val="clear" w:color="auto" w:fill="FFFFFF"/>
          <w:lang w:val="en-GB"/>
        </w:rPr>
        <w:t>Servitization</w:t>
      </w:r>
      <w:proofErr w:type="spellEnd"/>
      <w:r w:rsidRPr="00070AB9">
        <w:rPr>
          <w:rFonts w:ascii="Times New Roman" w:hAnsi="Times New Roman"/>
          <w:color w:val="000000" w:themeColor="text1"/>
          <w:shd w:val="clear" w:color="auto" w:fill="FFFFFF"/>
          <w:lang w:val="en-GB"/>
        </w:rPr>
        <w:t xml:space="preserve"> of business: adding value by adding services. European management journal, 6(4), pp.314-324.</w:t>
      </w:r>
    </w:p>
    <w:p w14:paraId="1F237BB0"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Wathieu</w:t>
      </w:r>
      <w:proofErr w:type="spellEnd"/>
      <w:r w:rsidRPr="00070AB9">
        <w:rPr>
          <w:rFonts w:ascii="Times New Roman" w:hAnsi="Times New Roman"/>
          <w:color w:val="000000" w:themeColor="text1"/>
          <w:shd w:val="clear" w:color="auto" w:fill="FFFFFF"/>
          <w:lang w:val="en-GB"/>
        </w:rPr>
        <w:t xml:space="preserve">, L., Brenner, L., Carmon, Z., Chattopadhyay, A., </w:t>
      </w:r>
      <w:proofErr w:type="spellStart"/>
      <w:r w:rsidRPr="00070AB9">
        <w:rPr>
          <w:rFonts w:ascii="Times New Roman" w:hAnsi="Times New Roman"/>
          <w:color w:val="000000" w:themeColor="text1"/>
          <w:shd w:val="clear" w:color="auto" w:fill="FFFFFF"/>
          <w:lang w:val="en-GB"/>
        </w:rPr>
        <w:t>Wertenbroch</w:t>
      </w:r>
      <w:proofErr w:type="spellEnd"/>
      <w:r w:rsidRPr="00070AB9">
        <w:rPr>
          <w:rFonts w:ascii="Times New Roman" w:hAnsi="Times New Roman"/>
          <w:color w:val="000000" w:themeColor="text1"/>
          <w:shd w:val="clear" w:color="auto" w:fill="FFFFFF"/>
          <w:lang w:val="en-GB"/>
        </w:rPr>
        <w:t xml:space="preserve">, K., </w:t>
      </w:r>
      <w:proofErr w:type="spellStart"/>
      <w:r w:rsidRPr="00070AB9">
        <w:rPr>
          <w:rFonts w:ascii="Times New Roman" w:hAnsi="Times New Roman"/>
          <w:color w:val="000000" w:themeColor="text1"/>
          <w:shd w:val="clear" w:color="auto" w:fill="FFFFFF"/>
          <w:lang w:val="en-GB"/>
        </w:rPr>
        <w:t>Drolet</w:t>
      </w:r>
      <w:proofErr w:type="spellEnd"/>
      <w:r w:rsidRPr="00070AB9">
        <w:rPr>
          <w:rFonts w:ascii="Times New Roman" w:hAnsi="Times New Roman"/>
          <w:color w:val="000000" w:themeColor="text1"/>
          <w:shd w:val="clear" w:color="auto" w:fill="FFFFFF"/>
          <w:lang w:val="en-GB"/>
        </w:rPr>
        <w:t xml:space="preserve">, A., </w:t>
      </w:r>
      <w:proofErr w:type="spellStart"/>
      <w:r w:rsidRPr="00070AB9">
        <w:rPr>
          <w:rFonts w:ascii="Times New Roman" w:hAnsi="Times New Roman"/>
          <w:color w:val="000000" w:themeColor="text1"/>
          <w:shd w:val="clear" w:color="auto" w:fill="FFFFFF"/>
          <w:lang w:val="en-GB"/>
        </w:rPr>
        <w:t>Gourville</w:t>
      </w:r>
      <w:proofErr w:type="spellEnd"/>
      <w:r w:rsidRPr="00070AB9">
        <w:rPr>
          <w:rFonts w:ascii="Times New Roman" w:hAnsi="Times New Roman"/>
          <w:color w:val="000000" w:themeColor="text1"/>
          <w:shd w:val="clear" w:color="auto" w:fill="FFFFFF"/>
          <w:lang w:val="en-GB"/>
        </w:rPr>
        <w:t xml:space="preserve">, J., </w:t>
      </w:r>
      <w:proofErr w:type="spellStart"/>
      <w:r w:rsidRPr="00070AB9">
        <w:rPr>
          <w:rFonts w:ascii="Times New Roman" w:hAnsi="Times New Roman"/>
          <w:color w:val="000000" w:themeColor="text1"/>
          <w:shd w:val="clear" w:color="auto" w:fill="FFFFFF"/>
          <w:lang w:val="en-GB"/>
        </w:rPr>
        <w:t>Muthukrishnan</w:t>
      </w:r>
      <w:proofErr w:type="spellEnd"/>
      <w:r w:rsidRPr="00070AB9">
        <w:rPr>
          <w:rFonts w:ascii="Times New Roman" w:hAnsi="Times New Roman"/>
          <w:color w:val="000000" w:themeColor="text1"/>
          <w:shd w:val="clear" w:color="auto" w:fill="FFFFFF"/>
          <w:lang w:val="en-GB"/>
        </w:rPr>
        <w:t xml:space="preserve">, A.V., </w:t>
      </w:r>
      <w:proofErr w:type="spellStart"/>
      <w:r w:rsidRPr="00070AB9">
        <w:rPr>
          <w:rFonts w:ascii="Times New Roman" w:hAnsi="Times New Roman"/>
          <w:color w:val="000000" w:themeColor="text1"/>
          <w:shd w:val="clear" w:color="auto" w:fill="FFFFFF"/>
          <w:lang w:val="en-GB"/>
        </w:rPr>
        <w:t>Novemsky</w:t>
      </w:r>
      <w:proofErr w:type="spellEnd"/>
      <w:r w:rsidRPr="00070AB9">
        <w:rPr>
          <w:rFonts w:ascii="Times New Roman" w:hAnsi="Times New Roman"/>
          <w:color w:val="000000" w:themeColor="text1"/>
          <w:shd w:val="clear" w:color="auto" w:fill="FFFFFF"/>
          <w:lang w:val="en-GB"/>
        </w:rPr>
        <w:t>, N., Ratner, R.K. and Wu, G., 2002. Consumer control and empowerment: a primer. Marketing Letters, 13(3), pp.297-305.</w:t>
      </w:r>
    </w:p>
    <w:p w14:paraId="2F4CD5AC"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Wright, L.T., Pires, G.D., Stanton, J. and Rita, P., 2006. The internet, consumer empowerment and marketing strategies. European Journal of Marketing.</w:t>
      </w:r>
    </w:p>
    <w:p w14:paraId="31ADFB55"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 xml:space="preserve">Yates, A. and </w:t>
      </w:r>
      <w:proofErr w:type="spellStart"/>
      <w:r w:rsidRPr="00070AB9">
        <w:rPr>
          <w:rFonts w:ascii="Times New Roman" w:hAnsi="Times New Roman"/>
          <w:color w:val="000000" w:themeColor="text1"/>
          <w:shd w:val="clear" w:color="auto" w:fill="FFFFFF"/>
          <w:lang w:val="en-GB"/>
        </w:rPr>
        <w:t>Goharian</w:t>
      </w:r>
      <w:proofErr w:type="spellEnd"/>
      <w:r w:rsidRPr="00070AB9">
        <w:rPr>
          <w:rFonts w:ascii="Times New Roman" w:hAnsi="Times New Roman"/>
          <w:color w:val="000000" w:themeColor="text1"/>
          <w:shd w:val="clear" w:color="auto" w:fill="FFFFFF"/>
          <w:lang w:val="en-GB"/>
        </w:rPr>
        <w:t xml:space="preserve">, N., 2013, March. </w:t>
      </w:r>
      <w:proofErr w:type="spellStart"/>
      <w:r w:rsidRPr="00070AB9">
        <w:rPr>
          <w:rFonts w:ascii="Times New Roman" w:hAnsi="Times New Roman"/>
          <w:color w:val="000000" w:themeColor="text1"/>
          <w:shd w:val="clear" w:color="auto" w:fill="FFFFFF"/>
          <w:lang w:val="en-GB"/>
        </w:rPr>
        <w:t>ADRTrace</w:t>
      </w:r>
      <w:proofErr w:type="spellEnd"/>
      <w:r w:rsidRPr="00070AB9">
        <w:rPr>
          <w:rFonts w:ascii="Times New Roman" w:hAnsi="Times New Roman"/>
          <w:color w:val="000000" w:themeColor="text1"/>
          <w:shd w:val="clear" w:color="auto" w:fill="FFFFFF"/>
          <w:lang w:val="en-GB"/>
        </w:rPr>
        <w:t>: detecting expected and unexpected adverse drug reactions from user reviews on social media sites. In European Conference on Information Retrieval (pp. 816-819). Springer, Berlin, Heidelberg.</w:t>
      </w:r>
    </w:p>
    <w:p w14:paraId="7A8FA92B"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Yuksel</w:t>
      </w:r>
      <w:proofErr w:type="spellEnd"/>
      <w:r w:rsidRPr="00070AB9">
        <w:rPr>
          <w:rFonts w:ascii="Times New Roman" w:hAnsi="Times New Roman"/>
          <w:color w:val="000000" w:themeColor="text1"/>
          <w:shd w:val="clear" w:color="auto" w:fill="FFFFFF"/>
          <w:lang w:val="en-GB"/>
        </w:rPr>
        <w:t>, M., Milne, G.R. and Miller, E.G., 2016. Social media as complementary consumption: The relationship between consumer empowerment and social interactions in experiential and informative contexts. Journal of Consumer Marketing.</w:t>
      </w:r>
    </w:p>
    <w:p w14:paraId="7459C6C9" w14:textId="77777777" w:rsidR="0020494B" w:rsidRPr="00070AB9" w:rsidRDefault="0020494B" w:rsidP="0020494B">
      <w:pPr>
        <w:pStyle w:val="OBEBibliography"/>
        <w:rPr>
          <w:rFonts w:ascii="Times New Roman" w:hAnsi="Times New Roman"/>
          <w:color w:val="000000" w:themeColor="text1"/>
          <w:shd w:val="clear" w:color="auto" w:fill="FFFFFF"/>
          <w:lang w:val="en-GB"/>
        </w:rPr>
      </w:pPr>
      <w:proofErr w:type="spellStart"/>
      <w:r w:rsidRPr="00070AB9">
        <w:rPr>
          <w:rFonts w:ascii="Times New Roman" w:hAnsi="Times New Roman"/>
          <w:color w:val="000000" w:themeColor="text1"/>
          <w:shd w:val="clear" w:color="auto" w:fill="FFFFFF"/>
          <w:lang w:val="en-GB"/>
        </w:rPr>
        <w:t>Zech</w:t>
      </w:r>
      <w:proofErr w:type="spellEnd"/>
      <w:r w:rsidRPr="00070AB9">
        <w:rPr>
          <w:rFonts w:ascii="Times New Roman" w:hAnsi="Times New Roman"/>
          <w:color w:val="000000" w:themeColor="text1"/>
          <w:shd w:val="clear" w:color="auto" w:fill="FFFFFF"/>
          <w:lang w:val="en-GB"/>
        </w:rPr>
        <w:t>, H., 2016. A legal framework for a data economy in the European Digital Single Market: rights to use data. Journal of Intellectual Property Law &amp; Practice, 11(6), pp.460-470.</w:t>
      </w:r>
    </w:p>
    <w:p w14:paraId="332C0A13" w14:textId="77777777" w:rsidR="0020494B" w:rsidRPr="00070AB9" w:rsidRDefault="0020494B" w:rsidP="0020494B">
      <w:pPr>
        <w:pStyle w:val="OBEBibliography"/>
        <w:rPr>
          <w:rFonts w:ascii="Times New Roman" w:hAnsi="Times New Roman"/>
          <w:color w:val="000000" w:themeColor="text1"/>
          <w:shd w:val="clear" w:color="auto" w:fill="FFFFFF"/>
          <w:lang w:val="en-GB"/>
        </w:rPr>
      </w:pPr>
      <w:r w:rsidRPr="00070AB9">
        <w:rPr>
          <w:rFonts w:ascii="Times New Roman" w:hAnsi="Times New Roman"/>
          <w:color w:val="000000" w:themeColor="text1"/>
          <w:shd w:val="clear" w:color="auto" w:fill="FFFFFF"/>
          <w:lang w:val="en-GB"/>
        </w:rPr>
        <w:t>Zhang, Z., Li, X. and Chen, Y., 2012. Deciphering word-of-mouth in social media: Text-based metrics of consumer reviews. ACM Transactions on Management Information Systems (TMIS), 3(1), pp.1-23.</w:t>
      </w:r>
    </w:p>
    <w:sectPr w:rsidR="0020494B" w:rsidRPr="00070AB9">
      <w:headerReference w:type="default" r:id="rId15"/>
      <w:footerReference w:type="default" r:id="rId16"/>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ADF31" w14:textId="77777777" w:rsidR="00B9720E" w:rsidRDefault="00B9720E" w:rsidP="003A4DAA">
      <w:pPr>
        <w:spacing w:after="0" w:line="240" w:lineRule="auto"/>
      </w:pPr>
      <w:r>
        <w:separator/>
      </w:r>
    </w:p>
    <w:p w14:paraId="25411B9E" w14:textId="77777777" w:rsidR="00B9720E" w:rsidRDefault="00B9720E"/>
    <w:p w14:paraId="4DCD3472" w14:textId="77777777" w:rsidR="00B9720E" w:rsidRDefault="00B9720E"/>
  </w:endnote>
  <w:endnote w:type="continuationSeparator" w:id="0">
    <w:p w14:paraId="472EBF14" w14:textId="77777777" w:rsidR="00B9720E" w:rsidRDefault="00B9720E" w:rsidP="003A4DAA">
      <w:pPr>
        <w:spacing w:after="0" w:line="240" w:lineRule="auto"/>
      </w:pPr>
      <w:r>
        <w:continuationSeparator/>
      </w:r>
    </w:p>
    <w:p w14:paraId="67654758" w14:textId="77777777" w:rsidR="00B9720E" w:rsidRDefault="00B9720E"/>
    <w:p w14:paraId="336ED615" w14:textId="77777777" w:rsidR="00B9720E" w:rsidRDefault="00B97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D2AF8" w14:textId="6F3FDACE" w:rsidR="003027B9" w:rsidRDefault="003027B9">
    <w:pPr>
      <w:pStyle w:val="Footer"/>
    </w:pPr>
    <w:r>
      <w:fldChar w:fldCharType="begin"/>
    </w:r>
    <w:r>
      <w:instrText>PAGE</w:instrText>
    </w:r>
    <w:r>
      <w:fldChar w:fldCharType="separate"/>
    </w:r>
    <w:r w:rsidR="00133A3E">
      <w:rPr>
        <w:noProof/>
      </w:rPr>
      <w:t>21</w:t>
    </w:r>
    <w:r>
      <w:fldChar w:fldCharType="end"/>
    </w:r>
  </w:p>
  <w:p w14:paraId="00563B13" w14:textId="77777777" w:rsidR="003027B9" w:rsidRDefault="003027B9">
    <w:pPr>
      <w:pStyle w:val="Footer"/>
    </w:pPr>
  </w:p>
  <w:p w14:paraId="4EACDC4E" w14:textId="77777777" w:rsidR="003027B9" w:rsidRDefault="003027B9"/>
  <w:p w14:paraId="2BD0682A" w14:textId="77777777" w:rsidR="003027B9" w:rsidRDefault="00302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B591" w14:textId="77777777" w:rsidR="00B9720E" w:rsidRDefault="00B9720E" w:rsidP="003A4DAA">
      <w:pPr>
        <w:spacing w:after="0" w:line="240" w:lineRule="auto"/>
      </w:pPr>
      <w:r>
        <w:separator/>
      </w:r>
    </w:p>
    <w:p w14:paraId="4F466D31" w14:textId="77777777" w:rsidR="00B9720E" w:rsidRDefault="00B9720E"/>
    <w:p w14:paraId="5BD7D1C2" w14:textId="77777777" w:rsidR="00B9720E" w:rsidRDefault="00B9720E"/>
  </w:footnote>
  <w:footnote w:type="continuationSeparator" w:id="0">
    <w:p w14:paraId="135B0741" w14:textId="77777777" w:rsidR="00B9720E" w:rsidRDefault="00B9720E" w:rsidP="003A4DAA">
      <w:pPr>
        <w:spacing w:after="0" w:line="240" w:lineRule="auto"/>
      </w:pPr>
      <w:r>
        <w:continuationSeparator/>
      </w:r>
    </w:p>
    <w:p w14:paraId="26321412" w14:textId="77777777" w:rsidR="00B9720E" w:rsidRDefault="00B9720E"/>
    <w:p w14:paraId="6A38B224" w14:textId="77777777" w:rsidR="00B9720E" w:rsidRDefault="00B97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9DB4" w14:textId="77777777" w:rsidR="003027B9" w:rsidRDefault="003027B9" w:rsidP="003A4DAA">
    <w:pPr>
      <w:pStyle w:val="OBEHeaderinformation"/>
      <w:jc w:val="right"/>
      <w:rPr>
        <w:i/>
      </w:rPr>
    </w:pPr>
  </w:p>
  <w:p w14:paraId="69777122" w14:textId="101D0C2C" w:rsidR="003027B9" w:rsidRPr="003D2ACF" w:rsidRDefault="003027B9" w:rsidP="008265A3">
    <w:pPr>
      <w:pStyle w:val="OBEHeaderinformation"/>
      <w:jc w:val="right"/>
      <w:rPr>
        <w:b w:val="0"/>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089C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CF3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4A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0A5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A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0CA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EB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01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36A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4283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E26FF"/>
    <w:multiLevelType w:val="multilevel"/>
    <w:tmpl w:val="9A0C2F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047800"/>
    <w:multiLevelType w:val="hybridMultilevel"/>
    <w:tmpl w:val="BFA46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2F0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4377B1"/>
    <w:multiLevelType w:val="hybridMultilevel"/>
    <w:tmpl w:val="3AC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E2C33"/>
    <w:multiLevelType w:val="hybridMultilevel"/>
    <w:tmpl w:val="9F90E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87ACC"/>
    <w:multiLevelType w:val="hybridMultilevel"/>
    <w:tmpl w:val="AEA6C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17066"/>
    <w:multiLevelType w:val="multilevel"/>
    <w:tmpl w:val="CCB007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6F1C5F"/>
    <w:multiLevelType w:val="hybridMultilevel"/>
    <w:tmpl w:val="C93C81AC"/>
    <w:lvl w:ilvl="0" w:tplc="2EBE9FEC">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D2410"/>
    <w:multiLevelType w:val="hybridMultilevel"/>
    <w:tmpl w:val="EAE88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NDMzsjQytTAyMzVX0lEKTi0uzszPAykwrQUAHMVm6SwAAAA="/>
  </w:docVars>
  <w:rsids>
    <w:rsidRoot w:val="007A7DCD"/>
    <w:rsid w:val="00007411"/>
    <w:rsid w:val="00011D84"/>
    <w:rsid w:val="00015A0F"/>
    <w:rsid w:val="000236C9"/>
    <w:rsid w:val="00034035"/>
    <w:rsid w:val="0003415A"/>
    <w:rsid w:val="000354DA"/>
    <w:rsid w:val="00070AB9"/>
    <w:rsid w:val="00070CAE"/>
    <w:rsid w:val="00073084"/>
    <w:rsid w:val="00074008"/>
    <w:rsid w:val="00084DA5"/>
    <w:rsid w:val="000C40B9"/>
    <w:rsid w:val="000C4314"/>
    <w:rsid w:val="000D08DA"/>
    <w:rsid w:val="000D6759"/>
    <w:rsid w:val="000E4DE0"/>
    <w:rsid w:val="000E68AE"/>
    <w:rsid w:val="000E6943"/>
    <w:rsid w:val="000F468A"/>
    <w:rsid w:val="00103187"/>
    <w:rsid w:val="00116042"/>
    <w:rsid w:val="00120197"/>
    <w:rsid w:val="00125713"/>
    <w:rsid w:val="00133A3E"/>
    <w:rsid w:val="00140625"/>
    <w:rsid w:val="001448C0"/>
    <w:rsid w:val="00160C1F"/>
    <w:rsid w:val="0017056D"/>
    <w:rsid w:val="0019137D"/>
    <w:rsid w:val="00195C19"/>
    <w:rsid w:val="001B4207"/>
    <w:rsid w:val="001D18D6"/>
    <w:rsid w:val="001D37F0"/>
    <w:rsid w:val="001D59FD"/>
    <w:rsid w:val="001E3A66"/>
    <w:rsid w:val="001F2CA9"/>
    <w:rsid w:val="0020494B"/>
    <w:rsid w:val="002051C4"/>
    <w:rsid w:val="00205F8B"/>
    <w:rsid w:val="00213A10"/>
    <w:rsid w:val="00215DF4"/>
    <w:rsid w:val="002177B7"/>
    <w:rsid w:val="00225E67"/>
    <w:rsid w:val="00231EC0"/>
    <w:rsid w:val="00233787"/>
    <w:rsid w:val="00243774"/>
    <w:rsid w:val="002469C8"/>
    <w:rsid w:val="00254948"/>
    <w:rsid w:val="002775A9"/>
    <w:rsid w:val="00282D35"/>
    <w:rsid w:val="00285684"/>
    <w:rsid w:val="00285F09"/>
    <w:rsid w:val="002937B0"/>
    <w:rsid w:val="002A4246"/>
    <w:rsid w:val="002A7937"/>
    <w:rsid w:val="002C4DE3"/>
    <w:rsid w:val="002C6406"/>
    <w:rsid w:val="002C6788"/>
    <w:rsid w:val="002D07A2"/>
    <w:rsid w:val="002D084C"/>
    <w:rsid w:val="002E0B47"/>
    <w:rsid w:val="002E23DC"/>
    <w:rsid w:val="002E6378"/>
    <w:rsid w:val="002E7C86"/>
    <w:rsid w:val="002F19D3"/>
    <w:rsid w:val="003027B9"/>
    <w:rsid w:val="00310550"/>
    <w:rsid w:val="003107AD"/>
    <w:rsid w:val="00310AC7"/>
    <w:rsid w:val="00322395"/>
    <w:rsid w:val="00327083"/>
    <w:rsid w:val="00330D7D"/>
    <w:rsid w:val="003373E0"/>
    <w:rsid w:val="00342D88"/>
    <w:rsid w:val="003445B7"/>
    <w:rsid w:val="003725B8"/>
    <w:rsid w:val="003763D6"/>
    <w:rsid w:val="003814D3"/>
    <w:rsid w:val="0038721C"/>
    <w:rsid w:val="00391501"/>
    <w:rsid w:val="00393845"/>
    <w:rsid w:val="00395F74"/>
    <w:rsid w:val="00396237"/>
    <w:rsid w:val="003A07F0"/>
    <w:rsid w:val="003A4DAA"/>
    <w:rsid w:val="003A5CFC"/>
    <w:rsid w:val="003B00C4"/>
    <w:rsid w:val="003B1DA6"/>
    <w:rsid w:val="003D2ACF"/>
    <w:rsid w:val="003E6B1F"/>
    <w:rsid w:val="003F1DF3"/>
    <w:rsid w:val="0040231E"/>
    <w:rsid w:val="004048B7"/>
    <w:rsid w:val="00411374"/>
    <w:rsid w:val="00412BBF"/>
    <w:rsid w:val="00444CF2"/>
    <w:rsid w:val="0044680C"/>
    <w:rsid w:val="00454D3C"/>
    <w:rsid w:val="0046036D"/>
    <w:rsid w:val="00466E56"/>
    <w:rsid w:val="00470244"/>
    <w:rsid w:val="004849C9"/>
    <w:rsid w:val="0049255D"/>
    <w:rsid w:val="004968DD"/>
    <w:rsid w:val="004A256F"/>
    <w:rsid w:val="004A4718"/>
    <w:rsid w:val="004A5F64"/>
    <w:rsid w:val="004A656D"/>
    <w:rsid w:val="004B5A15"/>
    <w:rsid w:val="004C4B41"/>
    <w:rsid w:val="004C4CA5"/>
    <w:rsid w:val="004C7D94"/>
    <w:rsid w:val="004D2428"/>
    <w:rsid w:val="004D295D"/>
    <w:rsid w:val="004F5D86"/>
    <w:rsid w:val="0050422F"/>
    <w:rsid w:val="0051004D"/>
    <w:rsid w:val="00514A98"/>
    <w:rsid w:val="005174BE"/>
    <w:rsid w:val="00524D6D"/>
    <w:rsid w:val="00545AFF"/>
    <w:rsid w:val="00545F16"/>
    <w:rsid w:val="0054712E"/>
    <w:rsid w:val="005501B6"/>
    <w:rsid w:val="00556E30"/>
    <w:rsid w:val="0056380F"/>
    <w:rsid w:val="00565331"/>
    <w:rsid w:val="005845C3"/>
    <w:rsid w:val="00585B77"/>
    <w:rsid w:val="0058645B"/>
    <w:rsid w:val="00596A94"/>
    <w:rsid w:val="005A1BA2"/>
    <w:rsid w:val="005A7CFB"/>
    <w:rsid w:val="005B1732"/>
    <w:rsid w:val="005D6393"/>
    <w:rsid w:val="005D71CE"/>
    <w:rsid w:val="005E3933"/>
    <w:rsid w:val="005F2FB1"/>
    <w:rsid w:val="005F4ED0"/>
    <w:rsid w:val="005F70CD"/>
    <w:rsid w:val="00603CD8"/>
    <w:rsid w:val="00607599"/>
    <w:rsid w:val="00617806"/>
    <w:rsid w:val="0063285B"/>
    <w:rsid w:val="00633A97"/>
    <w:rsid w:val="006350E6"/>
    <w:rsid w:val="00635E82"/>
    <w:rsid w:val="00646771"/>
    <w:rsid w:val="00673FC8"/>
    <w:rsid w:val="0067709E"/>
    <w:rsid w:val="00684A5F"/>
    <w:rsid w:val="006A008F"/>
    <w:rsid w:val="006A0435"/>
    <w:rsid w:val="006B116E"/>
    <w:rsid w:val="006B4360"/>
    <w:rsid w:val="006B4BC3"/>
    <w:rsid w:val="006B7938"/>
    <w:rsid w:val="006C7AD7"/>
    <w:rsid w:val="006E02B4"/>
    <w:rsid w:val="006F0879"/>
    <w:rsid w:val="0072461B"/>
    <w:rsid w:val="00727010"/>
    <w:rsid w:val="00740751"/>
    <w:rsid w:val="00743965"/>
    <w:rsid w:val="0075218B"/>
    <w:rsid w:val="00753DE2"/>
    <w:rsid w:val="00757633"/>
    <w:rsid w:val="007620B6"/>
    <w:rsid w:val="0078229B"/>
    <w:rsid w:val="00785543"/>
    <w:rsid w:val="00793059"/>
    <w:rsid w:val="007A6F1F"/>
    <w:rsid w:val="007A7DCD"/>
    <w:rsid w:val="007B0358"/>
    <w:rsid w:val="007C125C"/>
    <w:rsid w:val="007C5F4C"/>
    <w:rsid w:val="007D5043"/>
    <w:rsid w:val="007E126F"/>
    <w:rsid w:val="007E2008"/>
    <w:rsid w:val="007E728F"/>
    <w:rsid w:val="007E7311"/>
    <w:rsid w:val="008054FE"/>
    <w:rsid w:val="008062AB"/>
    <w:rsid w:val="00812EB4"/>
    <w:rsid w:val="00815961"/>
    <w:rsid w:val="008265A3"/>
    <w:rsid w:val="008368EC"/>
    <w:rsid w:val="0084055D"/>
    <w:rsid w:val="00842087"/>
    <w:rsid w:val="00843487"/>
    <w:rsid w:val="00844F00"/>
    <w:rsid w:val="00860E8D"/>
    <w:rsid w:val="00862883"/>
    <w:rsid w:val="00866B0B"/>
    <w:rsid w:val="00876C92"/>
    <w:rsid w:val="00877ACE"/>
    <w:rsid w:val="008846BB"/>
    <w:rsid w:val="0088758E"/>
    <w:rsid w:val="0089295C"/>
    <w:rsid w:val="00896F80"/>
    <w:rsid w:val="008A223A"/>
    <w:rsid w:val="008B0A46"/>
    <w:rsid w:val="008B0E30"/>
    <w:rsid w:val="008B53FB"/>
    <w:rsid w:val="008B5EE1"/>
    <w:rsid w:val="008D5F38"/>
    <w:rsid w:val="008F7BE3"/>
    <w:rsid w:val="00906A3D"/>
    <w:rsid w:val="00914A36"/>
    <w:rsid w:val="009200EF"/>
    <w:rsid w:val="00925823"/>
    <w:rsid w:val="00945AA1"/>
    <w:rsid w:val="00953D2C"/>
    <w:rsid w:val="00956636"/>
    <w:rsid w:val="009669DA"/>
    <w:rsid w:val="00977317"/>
    <w:rsid w:val="00980C0A"/>
    <w:rsid w:val="0098175D"/>
    <w:rsid w:val="00987E01"/>
    <w:rsid w:val="00990578"/>
    <w:rsid w:val="009974E2"/>
    <w:rsid w:val="009A6E1B"/>
    <w:rsid w:val="009B1B70"/>
    <w:rsid w:val="009B7EA8"/>
    <w:rsid w:val="009C5FC2"/>
    <w:rsid w:val="009C6106"/>
    <w:rsid w:val="009D31BF"/>
    <w:rsid w:val="009D7538"/>
    <w:rsid w:val="009E2A2C"/>
    <w:rsid w:val="00A010DF"/>
    <w:rsid w:val="00A01475"/>
    <w:rsid w:val="00A01B11"/>
    <w:rsid w:val="00A06C05"/>
    <w:rsid w:val="00A11D00"/>
    <w:rsid w:val="00A21C4E"/>
    <w:rsid w:val="00A276BE"/>
    <w:rsid w:val="00A34458"/>
    <w:rsid w:val="00A43D97"/>
    <w:rsid w:val="00A612A8"/>
    <w:rsid w:val="00A7299F"/>
    <w:rsid w:val="00A92743"/>
    <w:rsid w:val="00AA0B56"/>
    <w:rsid w:val="00AB237D"/>
    <w:rsid w:val="00AB66DA"/>
    <w:rsid w:val="00AC6EB6"/>
    <w:rsid w:val="00AD21E8"/>
    <w:rsid w:val="00AF1B23"/>
    <w:rsid w:val="00B02ECC"/>
    <w:rsid w:val="00B112DC"/>
    <w:rsid w:val="00B1499E"/>
    <w:rsid w:val="00B2071C"/>
    <w:rsid w:val="00B23BEC"/>
    <w:rsid w:val="00B32862"/>
    <w:rsid w:val="00B33547"/>
    <w:rsid w:val="00B424C4"/>
    <w:rsid w:val="00B52A31"/>
    <w:rsid w:val="00B62610"/>
    <w:rsid w:val="00B67581"/>
    <w:rsid w:val="00B70205"/>
    <w:rsid w:val="00B70E74"/>
    <w:rsid w:val="00B911E8"/>
    <w:rsid w:val="00B95BCF"/>
    <w:rsid w:val="00B9720E"/>
    <w:rsid w:val="00B97D57"/>
    <w:rsid w:val="00BA6ADC"/>
    <w:rsid w:val="00BA7441"/>
    <w:rsid w:val="00BB1E63"/>
    <w:rsid w:val="00BB7947"/>
    <w:rsid w:val="00BC5FA2"/>
    <w:rsid w:val="00BD1215"/>
    <w:rsid w:val="00BD5584"/>
    <w:rsid w:val="00BF38E4"/>
    <w:rsid w:val="00BF5B08"/>
    <w:rsid w:val="00C01506"/>
    <w:rsid w:val="00C0696B"/>
    <w:rsid w:val="00C1468A"/>
    <w:rsid w:val="00C25ACD"/>
    <w:rsid w:val="00C31C0F"/>
    <w:rsid w:val="00C46E02"/>
    <w:rsid w:val="00C4798F"/>
    <w:rsid w:val="00C479B7"/>
    <w:rsid w:val="00C56973"/>
    <w:rsid w:val="00C61151"/>
    <w:rsid w:val="00C66EE0"/>
    <w:rsid w:val="00C77492"/>
    <w:rsid w:val="00C8270F"/>
    <w:rsid w:val="00C82F1E"/>
    <w:rsid w:val="00C87B4A"/>
    <w:rsid w:val="00C97D27"/>
    <w:rsid w:val="00CA00D7"/>
    <w:rsid w:val="00CB6F97"/>
    <w:rsid w:val="00CC112D"/>
    <w:rsid w:val="00CC5AD3"/>
    <w:rsid w:val="00CC5E15"/>
    <w:rsid w:val="00CD01C4"/>
    <w:rsid w:val="00CD1494"/>
    <w:rsid w:val="00CD7AE7"/>
    <w:rsid w:val="00CE4B23"/>
    <w:rsid w:val="00CF4A8A"/>
    <w:rsid w:val="00D032C9"/>
    <w:rsid w:val="00D170F8"/>
    <w:rsid w:val="00D26583"/>
    <w:rsid w:val="00D3302A"/>
    <w:rsid w:val="00D369B3"/>
    <w:rsid w:val="00D501B2"/>
    <w:rsid w:val="00D50945"/>
    <w:rsid w:val="00D54699"/>
    <w:rsid w:val="00D630C1"/>
    <w:rsid w:val="00D63818"/>
    <w:rsid w:val="00D63AD9"/>
    <w:rsid w:val="00D72C8B"/>
    <w:rsid w:val="00D73459"/>
    <w:rsid w:val="00D734C8"/>
    <w:rsid w:val="00D74384"/>
    <w:rsid w:val="00D74D73"/>
    <w:rsid w:val="00D867E8"/>
    <w:rsid w:val="00D8706F"/>
    <w:rsid w:val="00D87BC9"/>
    <w:rsid w:val="00D92B88"/>
    <w:rsid w:val="00DC6FDF"/>
    <w:rsid w:val="00DD589E"/>
    <w:rsid w:val="00DD6FCC"/>
    <w:rsid w:val="00DE0F8C"/>
    <w:rsid w:val="00DF5B3E"/>
    <w:rsid w:val="00E07819"/>
    <w:rsid w:val="00E214AA"/>
    <w:rsid w:val="00E30C75"/>
    <w:rsid w:val="00E3379C"/>
    <w:rsid w:val="00E5658B"/>
    <w:rsid w:val="00E639F1"/>
    <w:rsid w:val="00E63AEA"/>
    <w:rsid w:val="00E648D9"/>
    <w:rsid w:val="00E91579"/>
    <w:rsid w:val="00EA3500"/>
    <w:rsid w:val="00EB0601"/>
    <w:rsid w:val="00EB0D08"/>
    <w:rsid w:val="00EB2C20"/>
    <w:rsid w:val="00EB3BA6"/>
    <w:rsid w:val="00EC0195"/>
    <w:rsid w:val="00ED5241"/>
    <w:rsid w:val="00EE28D9"/>
    <w:rsid w:val="00EF68B5"/>
    <w:rsid w:val="00F032F7"/>
    <w:rsid w:val="00F14829"/>
    <w:rsid w:val="00F15585"/>
    <w:rsid w:val="00F22AD2"/>
    <w:rsid w:val="00F23837"/>
    <w:rsid w:val="00F34B03"/>
    <w:rsid w:val="00F45871"/>
    <w:rsid w:val="00F51F42"/>
    <w:rsid w:val="00F56785"/>
    <w:rsid w:val="00F61392"/>
    <w:rsid w:val="00F6555C"/>
    <w:rsid w:val="00F6579B"/>
    <w:rsid w:val="00F711AD"/>
    <w:rsid w:val="00F71860"/>
    <w:rsid w:val="00F8189B"/>
    <w:rsid w:val="00F83ACD"/>
    <w:rsid w:val="00FA1048"/>
    <w:rsid w:val="00FA7B21"/>
    <w:rsid w:val="00FB2C50"/>
    <w:rsid w:val="00FB60A9"/>
    <w:rsid w:val="00FC34B1"/>
    <w:rsid w:val="00FD42B6"/>
    <w:rsid w:val="00FD5A3E"/>
    <w:rsid w:val="00FE3B67"/>
    <w:rsid w:val="00FE4628"/>
    <w:rsid w:val="00FE669A"/>
    <w:rsid w:val="00FF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08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DF4"/>
  </w:style>
  <w:style w:type="paragraph" w:styleId="Heading1">
    <w:name w:val="heading 1"/>
    <w:basedOn w:val="Normal"/>
    <w:next w:val="Normal"/>
    <w:link w:val="Heading1Char"/>
    <w:uiPriority w:val="9"/>
    <w:rsid w:val="003A4DA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rsid w:val="003A4DA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DA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DA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A4DA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A4DA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A4DA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A4DA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A4DA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EHeaderinformation">
    <w:name w:val="OBE Header information"/>
    <w:basedOn w:val="Normal"/>
    <w:link w:val="OBEHeaderinformationChar"/>
    <w:qFormat/>
    <w:rsid w:val="007A7DCD"/>
    <w:pPr>
      <w:jc w:val="center"/>
    </w:pPr>
    <w:rPr>
      <w:b/>
      <w:sz w:val="28"/>
    </w:rPr>
  </w:style>
  <w:style w:type="paragraph" w:customStyle="1" w:styleId="OBEBody">
    <w:name w:val="OBE Body"/>
    <w:link w:val="OBEBodyChar"/>
    <w:qFormat/>
    <w:rsid w:val="00BF5B08"/>
    <w:pPr>
      <w:spacing w:after="180" w:line="360" w:lineRule="auto"/>
      <w:jc w:val="both"/>
    </w:pPr>
    <w:rPr>
      <w:sz w:val="24"/>
    </w:rPr>
  </w:style>
  <w:style w:type="character" w:customStyle="1" w:styleId="OBEHeaderinformationChar">
    <w:name w:val="OBE Header information Char"/>
    <w:basedOn w:val="DefaultParagraphFont"/>
    <w:link w:val="OBEHeaderinformation"/>
    <w:rsid w:val="007A7DCD"/>
    <w:rPr>
      <w:b/>
      <w:sz w:val="28"/>
    </w:rPr>
  </w:style>
  <w:style w:type="paragraph" w:customStyle="1" w:styleId="OBESubtitle1sttier">
    <w:name w:val="OBE Subtitle 1st tier"/>
    <w:link w:val="OBESubtitle1sttierChar"/>
    <w:qFormat/>
    <w:rsid w:val="00A7299F"/>
    <w:pPr>
      <w:outlineLvl w:val="0"/>
    </w:pPr>
    <w:rPr>
      <w:rFonts w:asciiTheme="majorHAnsi" w:hAnsiTheme="majorHAnsi" w:cstheme="majorHAnsi"/>
      <w:color w:val="323E4F" w:themeColor="text2" w:themeShade="BF"/>
      <w:sz w:val="36"/>
      <w:szCs w:val="36"/>
    </w:rPr>
  </w:style>
  <w:style w:type="character" w:customStyle="1" w:styleId="OBEBodyChar">
    <w:name w:val="OBE Body Char"/>
    <w:basedOn w:val="OBEHeaderinformationChar"/>
    <w:link w:val="OBEBody"/>
    <w:rsid w:val="00BF5B08"/>
    <w:rPr>
      <w:b w:val="0"/>
      <w:sz w:val="24"/>
    </w:rPr>
  </w:style>
  <w:style w:type="paragraph" w:styleId="Footer">
    <w:name w:val="footer"/>
    <w:basedOn w:val="Normal"/>
    <w:link w:val="FooterChar"/>
    <w:rsid w:val="007A7DCD"/>
    <w:pPr>
      <w:tabs>
        <w:tab w:val="center" w:pos="4513"/>
        <w:tab w:val="right" w:pos="9026"/>
      </w:tabs>
      <w:spacing w:after="0" w:line="240" w:lineRule="auto"/>
    </w:pPr>
  </w:style>
  <w:style w:type="character" w:customStyle="1" w:styleId="FooterChar">
    <w:name w:val="Footer Char"/>
    <w:basedOn w:val="DefaultParagraphFont"/>
    <w:link w:val="Footer"/>
    <w:rsid w:val="007A7DCD"/>
    <w:rPr>
      <w:rFonts w:ascii="Calibri" w:eastAsia="Arial Unicode MS" w:hAnsi="Calibri" w:cs="Arial Unicode MS"/>
      <w:color w:val="00000A"/>
      <w:kern w:val="2"/>
      <w:lang w:eastAsia="en-GB"/>
    </w:rPr>
  </w:style>
  <w:style w:type="paragraph" w:customStyle="1" w:styleId="OBEBibliography">
    <w:name w:val="OBE Bibliography"/>
    <w:basedOn w:val="OBEHeaderinformation"/>
    <w:qFormat/>
    <w:rsid w:val="007A7DCD"/>
    <w:pPr>
      <w:suppressAutoHyphens/>
      <w:spacing w:after="240" w:line="240" w:lineRule="auto"/>
      <w:jc w:val="both"/>
    </w:pPr>
    <w:rPr>
      <w:rFonts w:ascii="Calibri" w:eastAsia="Calibri" w:hAnsi="Calibri" w:cs="Times New Roman"/>
      <w:b w:val="0"/>
      <w:color w:val="00000A"/>
      <w:kern w:val="2"/>
      <w:sz w:val="24"/>
      <w:lang w:val="en-US"/>
    </w:rPr>
  </w:style>
  <w:style w:type="paragraph" w:customStyle="1" w:styleId="OBESubtitle2ndtier">
    <w:name w:val="OBE Subtitle 2nd tier"/>
    <w:link w:val="OBESubtitle2ndtierChar"/>
    <w:qFormat/>
    <w:rsid w:val="00393845"/>
    <w:pPr>
      <w:outlineLvl w:val="1"/>
    </w:pPr>
    <w:rPr>
      <w:rFonts w:asciiTheme="majorHAnsi" w:hAnsiTheme="majorHAnsi" w:cstheme="majorHAnsi"/>
      <w:i/>
      <w:color w:val="000000" w:themeColor="text1"/>
      <w:sz w:val="28"/>
      <w:szCs w:val="36"/>
      <w:u w:val="single"/>
    </w:rPr>
  </w:style>
  <w:style w:type="character" w:customStyle="1" w:styleId="Heading1Char">
    <w:name w:val="Heading 1 Char"/>
    <w:basedOn w:val="DefaultParagraphFont"/>
    <w:link w:val="Heading1"/>
    <w:uiPriority w:val="9"/>
    <w:rsid w:val="003A4DAA"/>
    <w:rPr>
      <w:rFonts w:asciiTheme="majorHAnsi" w:eastAsiaTheme="majorEastAsia" w:hAnsiTheme="majorHAnsi" w:cstheme="majorBidi"/>
      <w:color w:val="1F3864" w:themeColor="accent1" w:themeShade="80"/>
      <w:sz w:val="36"/>
      <w:szCs w:val="36"/>
    </w:rPr>
  </w:style>
  <w:style w:type="character" w:customStyle="1" w:styleId="OBESubtitle1sttierChar">
    <w:name w:val="OBE Subtitle 1st tier Char"/>
    <w:basedOn w:val="DefaultParagraphFont"/>
    <w:link w:val="OBESubtitle1sttier"/>
    <w:rsid w:val="00A7299F"/>
    <w:rPr>
      <w:rFonts w:asciiTheme="majorHAnsi" w:hAnsiTheme="majorHAnsi" w:cstheme="majorHAnsi"/>
      <w:color w:val="323E4F" w:themeColor="text2" w:themeShade="BF"/>
      <w:sz w:val="36"/>
      <w:szCs w:val="36"/>
    </w:rPr>
  </w:style>
  <w:style w:type="character" w:customStyle="1" w:styleId="OBESubtitle2ndtierChar">
    <w:name w:val="OBE Subtitle 2nd tier Char"/>
    <w:basedOn w:val="OBESubtitle1sttierChar"/>
    <w:link w:val="OBESubtitle2ndtier"/>
    <w:rsid w:val="00393845"/>
    <w:rPr>
      <w:rFonts w:asciiTheme="majorHAnsi" w:hAnsiTheme="majorHAnsi" w:cstheme="majorHAnsi"/>
      <w:i/>
      <w:color w:val="000000" w:themeColor="text1"/>
      <w:sz w:val="28"/>
      <w:szCs w:val="36"/>
      <w:u w:val="single"/>
    </w:rPr>
  </w:style>
  <w:style w:type="character" w:customStyle="1" w:styleId="Heading2Char">
    <w:name w:val="Heading 2 Char"/>
    <w:basedOn w:val="DefaultParagraphFont"/>
    <w:link w:val="Heading2"/>
    <w:uiPriority w:val="9"/>
    <w:semiHidden/>
    <w:rsid w:val="003A4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DA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DA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A4DA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A4DA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A4DA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A4DA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A4DAA"/>
    <w:rPr>
      <w:rFonts w:asciiTheme="majorHAnsi" w:eastAsiaTheme="majorEastAsia" w:hAnsiTheme="majorHAnsi" w:cstheme="majorBidi"/>
      <w:i/>
      <w:iCs/>
      <w:color w:val="1F3864" w:themeColor="accent1" w:themeShade="80"/>
    </w:rPr>
  </w:style>
  <w:style w:type="paragraph" w:styleId="Caption">
    <w:name w:val="caption"/>
    <w:basedOn w:val="Normal"/>
    <w:next w:val="Normal"/>
    <w:link w:val="CaptionChar"/>
    <w:uiPriority w:val="35"/>
    <w:semiHidden/>
    <w:unhideWhenUsed/>
    <w:qFormat/>
    <w:rsid w:val="003A4DAA"/>
    <w:pPr>
      <w:spacing w:line="240" w:lineRule="auto"/>
    </w:pPr>
    <w:rPr>
      <w:b/>
      <w:bCs/>
      <w:smallCaps/>
      <w:color w:val="44546A" w:themeColor="text2"/>
    </w:rPr>
  </w:style>
  <w:style w:type="paragraph" w:styleId="Title">
    <w:name w:val="Title"/>
    <w:basedOn w:val="Normal"/>
    <w:next w:val="Normal"/>
    <w:link w:val="TitleChar"/>
    <w:uiPriority w:val="10"/>
    <w:rsid w:val="003A4DA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A4DA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rsid w:val="003A4DA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A4DA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rsid w:val="003A4DAA"/>
    <w:rPr>
      <w:b/>
      <w:bCs/>
    </w:rPr>
  </w:style>
  <w:style w:type="character" w:styleId="Emphasis">
    <w:name w:val="Emphasis"/>
    <w:basedOn w:val="DefaultParagraphFont"/>
    <w:uiPriority w:val="20"/>
    <w:rsid w:val="003A4DAA"/>
    <w:rPr>
      <w:i/>
      <w:iCs/>
    </w:rPr>
  </w:style>
  <w:style w:type="paragraph" w:styleId="Header">
    <w:name w:val="header"/>
    <w:basedOn w:val="Normal"/>
    <w:link w:val="HeaderChar"/>
    <w:uiPriority w:val="99"/>
    <w:unhideWhenUsed/>
    <w:rsid w:val="00D3302A"/>
    <w:pPr>
      <w:tabs>
        <w:tab w:val="center" w:pos="4513"/>
        <w:tab w:val="right" w:pos="9026"/>
      </w:tabs>
      <w:spacing w:after="0" w:line="240" w:lineRule="auto"/>
    </w:pPr>
  </w:style>
  <w:style w:type="paragraph" w:styleId="Quote">
    <w:name w:val="Quote"/>
    <w:basedOn w:val="Normal"/>
    <w:next w:val="Normal"/>
    <w:link w:val="QuoteChar"/>
    <w:uiPriority w:val="29"/>
    <w:rsid w:val="003A4D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A4DAA"/>
    <w:rPr>
      <w:color w:val="44546A" w:themeColor="text2"/>
      <w:sz w:val="24"/>
      <w:szCs w:val="24"/>
    </w:rPr>
  </w:style>
  <w:style w:type="paragraph" w:styleId="IntenseQuote">
    <w:name w:val="Intense Quote"/>
    <w:basedOn w:val="Normal"/>
    <w:next w:val="Normal"/>
    <w:link w:val="IntenseQuoteChar"/>
    <w:uiPriority w:val="30"/>
    <w:rsid w:val="003A4D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A4D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3A4DAA"/>
    <w:rPr>
      <w:i/>
      <w:iCs/>
      <w:color w:val="595959" w:themeColor="text1" w:themeTint="A6"/>
    </w:rPr>
  </w:style>
  <w:style w:type="character" w:styleId="IntenseEmphasis">
    <w:name w:val="Intense Emphasis"/>
    <w:basedOn w:val="DefaultParagraphFont"/>
    <w:uiPriority w:val="21"/>
    <w:rsid w:val="003A4DAA"/>
    <w:rPr>
      <w:b/>
      <w:bCs/>
      <w:i/>
      <w:iCs/>
    </w:rPr>
  </w:style>
  <w:style w:type="character" w:styleId="SubtleReference">
    <w:name w:val="Subtle Reference"/>
    <w:basedOn w:val="DefaultParagraphFont"/>
    <w:uiPriority w:val="31"/>
    <w:rsid w:val="003A4D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3A4DAA"/>
    <w:rPr>
      <w:b/>
      <w:bCs/>
      <w:smallCaps/>
      <w:color w:val="44546A" w:themeColor="text2"/>
      <w:u w:val="single"/>
    </w:rPr>
  </w:style>
  <w:style w:type="paragraph" w:customStyle="1" w:styleId="OBEFootnote">
    <w:name w:val="OBE Footnote"/>
    <w:basedOn w:val="FootnoteText"/>
    <w:link w:val="OBEFootnoteChar"/>
    <w:qFormat/>
    <w:rsid w:val="001D59FD"/>
    <w:pPr>
      <w:spacing w:after="120"/>
    </w:pPr>
  </w:style>
  <w:style w:type="paragraph" w:styleId="TOCHeading">
    <w:name w:val="TOC Heading"/>
    <w:basedOn w:val="Heading1"/>
    <w:next w:val="Normal"/>
    <w:uiPriority w:val="39"/>
    <w:unhideWhenUsed/>
    <w:rsid w:val="003A4DAA"/>
    <w:pPr>
      <w:outlineLvl w:val="9"/>
    </w:pPr>
  </w:style>
  <w:style w:type="paragraph" w:customStyle="1" w:styleId="OBECOVERTITLE">
    <w:name w:val="OBE COVER TITLE"/>
    <w:basedOn w:val="Title"/>
    <w:next w:val="OBEBody"/>
    <w:link w:val="OBECOVERTITLEChar"/>
    <w:qFormat/>
    <w:rsid w:val="00120197"/>
    <w:pPr>
      <w:jc w:val="center"/>
    </w:pPr>
  </w:style>
  <w:style w:type="character" w:customStyle="1" w:styleId="HeaderChar">
    <w:name w:val="Header Char"/>
    <w:basedOn w:val="DefaultParagraphFont"/>
    <w:link w:val="Header"/>
    <w:uiPriority w:val="99"/>
    <w:rsid w:val="00D3302A"/>
  </w:style>
  <w:style w:type="character" w:customStyle="1" w:styleId="OBECOVERTITLEChar">
    <w:name w:val="OBE COVER TITLE Char"/>
    <w:basedOn w:val="TitleChar"/>
    <w:link w:val="OBECOVERTITLE"/>
    <w:rsid w:val="00120197"/>
    <w:rPr>
      <w:rFonts w:asciiTheme="majorHAnsi" w:eastAsiaTheme="majorEastAsia" w:hAnsiTheme="majorHAnsi" w:cstheme="majorBidi"/>
      <w:caps/>
      <w:color w:val="44546A" w:themeColor="text2"/>
      <w:spacing w:val="-15"/>
      <w:sz w:val="72"/>
      <w:szCs w:val="72"/>
    </w:rPr>
  </w:style>
  <w:style w:type="paragraph" w:styleId="NormalWeb">
    <w:name w:val="Normal (Web)"/>
    <w:basedOn w:val="Normal"/>
    <w:uiPriority w:val="99"/>
    <w:semiHidden/>
    <w:unhideWhenUsed/>
    <w:rsid w:val="00860E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ETITLE">
    <w:name w:val="OBE TITLE"/>
    <w:link w:val="OBETITLEChar"/>
    <w:qFormat/>
    <w:rsid w:val="0040231E"/>
    <w:pPr>
      <w:spacing w:after="240" w:line="240" w:lineRule="auto"/>
      <w:jc w:val="center"/>
      <w:outlineLvl w:val="0"/>
    </w:pPr>
    <w:rPr>
      <w:rFonts w:asciiTheme="majorHAnsi" w:eastAsiaTheme="majorEastAsia" w:hAnsiTheme="majorHAnsi" w:cstheme="majorBidi"/>
      <w:caps/>
      <w:color w:val="44546A" w:themeColor="text2"/>
      <w:spacing w:val="-15"/>
      <w:sz w:val="48"/>
      <w:szCs w:val="48"/>
    </w:rPr>
  </w:style>
  <w:style w:type="paragraph" w:styleId="TOC1">
    <w:name w:val="toc 1"/>
    <w:basedOn w:val="Normal"/>
    <w:next w:val="Normal"/>
    <w:autoRedefine/>
    <w:uiPriority w:val="39"/>
    <w:unhideWhenUsed/>
    <w:rsid w:val="00393845"/>
    <w:pPr>
      <w:tabs>
        <w:tab w:val="right" w:leader="dot" w:pos="9016"/>
      </w:tabs>
      <w:spacing w:after="100"/>
    </w:pPr>
  </w:style>
  <w:style w:type="character" w:customStyle="1" w:styleId="OBETITLEChar">
    <w:name w:val="OBE TITLE Char"/>
    <w:basedOn w:val="OBECOVERTITLEChar"/>
    <w:link w:val="OBETITLE"/>
    <w:rsid w:val="0040231E"/>
    <w:rPr>
      <w:rFonts w:asciiTheme="majorHAnsi" w:eastAsiaTheme="majorEastAsia" w:hAnsiTheme="majorHAnsi" w:cstheme="majorBidi"/>
      <w:caps/>
      <w:color w:val="44546A" w:themeColor="text2"/>
      <w:spacing w:val="-15"/>
      <w:sz w:val="48"/>
      <w:szCs w:val="48"/>
    </w:rPr>
  </w:style>
  <w:style w:type="paragraph" w:customStyle="1" w:styleId="OBElegendfigures">
    <w:name w:val="OBE legend figures"/>
    <w:basedOn w:val="Caption"/>
    <w:link w:val="OBElegendfiguresChar"/>
    <w:qFormat/>
    <w:rsid w:val="00987E01"/>
    <w:rPr>
      <w:i/>
    </w:rPr>
  </w:style>
  <w:style w:type="paragraph" w:styleId="TOC2">
    <w:name w:val="toc 2"/>
    <w:basedOn w:val="Normal"/>
    <w:next w:val="Normal"/>
    <w:autoRedefine/>
    <w:uiPriority w:val="39"/>
    <w:unhideWhenUsed/>
    <w:rsid w:val="00393845"/>
    <w:pPr>
      <w:spacing w:after="100"/>
      <w:ind w:left="220"/>
    </w:pPr>
  </w:style>
  <w:style w:type="paragraph" w:customStyle="1" w:styleId="OBESubtitle3rdtier">
    <w:name w:val="OBE Subtitle 3rd tier"/>
    <w:qFormat/>
    <w:rsid w:val="00393845"/>
    <w:pPr>
      <w:outlineLvl w:val="2"/>
    </w:pPr>
    <w:rPr>
      <w:rFonts w:cstheme="minorHAnsi"/>
      <w:i/>
      <w:sz w:val="24"/>
      <w:szCs w:val="24"/>
      <w:u w:val="single"/>
    </w:rPr>
  </w:style>
  <w:style w:type="paragraph" w:styleId="TOC3">
    <w:name w:val="toc 3"/>
    <w:basedOn w:val="Normal"/>
    <w:next w:val="Normal"/>
    <w:autoRedefine/>
    <w:uiPriority w:val="39"/>
    <w:unhideWhenUsed/>
    <w:rsid w:val="00393845"/>
    <w:pPr>
      <w:spacing w:after="100"/>
      <w:ind w:left="440"/>
    </w:pPr>
  </w:style>
  <w:style w:type="paragraph" w:styleId="FootnoteText">
    <w:name w:val="footnote text"/>
    <w:basedOn w:val="Normal"/>
    <w:link w:val="FootnoteTextChar"/>
    <w:uiPriority w:val="99"/>
    <w:semiHidden/>
    <w:unhideWhenUsed/>
    <w:rsid w:val="00D86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7E8"/>
    <w:rPr>
      <w:sz w:val="20"/>
      <w:szCs w:val="20"/>
    </w:rPr>
  </w:style>
  <w:style w:type="character" w:styleId="FootnoteReference">
    <w:name w:val="footnote reference"/>
    <w:basedOn w:val="DefaultParagraphFont"/>
    <w:uiPriority w:val="99"/>
    <w:semiHidden/>
    <w:unhideWhenUsed/>
    <w:rsid w:val="00D867E8"/>
    <w:rPr>
      <w:vertAlign w:val="superscript"/>
    </w:rPr>
  </w:style>
  <w:style w:type="character" w:styleId="Hyperlink">
    <w:name w:val="Hyperlink"/>
    <w:basedOn w:val="DefaultParagraphFont"/>
    <w:uiPriority w:val="99"/>
    <w:unhideWhenUsed/>
    <w:rsid w:val="00F23837"/>
    <w:rPr>
      <w:color w:val="0563C1" w:themeColor="hyperlink"/>
      <w:u w:val="single"/>
    </w:rPr>
  </w:style>
  <w:style w:type="paragraph" w:styleId="TableofFigures">
    <w:name w:val="table of figures"/>
    <w:basedOn w:val="Normal"/>
    <w:next w:val="Normal"/>
    <w:uiPriority w:val="99"/>
    <w:unhideWhenUsed/>
    <w:rsid w:val="00F23837"/>
    <w:pPr>
      <w:spacing w:after="0"/>
    </w:pPr>
  </w:style>
  <w:style w:type="paragraph" w:styleId="BalloonText">
    <w:name w:val="Balloon Text"/>
    <w:basedOn w:val="Normal"/>
    <w:link w:val="BalloonTextChar"/>
    <w:uiPriority w:val="99"/>
    <w:semiHidden/>
    <w:unhideWhenUsed/>
    <w:rsid w:val="003B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C4"/>
    <w:rPr>
      <w:rFonts w:ascii="Segoe UI" w:hAnsi="Segoe UI" w:cs="Segoe UI"/>
      <w:sz w:val="18"/>
      <w:szCs w:val="18"/>
    </w:rPr>
  </w:style>
  <w:style w:type="paragraph" w:customStyle="1" w:styleId="OBElegendtables">
    <w:name w:val="OBE legend tables"/>
    <w:basedOn w:val="OBElegendfigures"/>
    <w:link w:val="OBElegendtablesChar"/>
    <w:qFormat/>
    <w:rsid w:val="005B1732"/>
  </w:style>
  <w:style w:type="character" w:customStyle="1" w:styleId="OBEFootnoteChar">
    <w:name w:val="OBE Footnote Char"/>
    <w:basedOn w:val="FootnoteTextChar"/>
    <w:link w:val="OBEFootnote"/>
    <w:rsid w:val="001D59FD"/>
    <w:rPr>
      <w:sz w:val="20"/>
      <w:szCs w:val="20"/>
    </w:rPr>
  </w:style>
  <w:style w:type="character" w:customStyle="1" w:styleId="CaptionChar">
    <w:name w:val="Caption Char"/>
    <w:basedOn w:val="DefaultParagraphFont"/>
    <w:link w:val="Caption"/>
    <w:uiPriority w:val="35"/>
    <w:semiHidden/>
    <w:rsid w:val="005B1732"/>
    <w:rPr>
      <w:b/>
      <w:bCs/>
      <w:smallCaps/>
      <w:color w:val="44546A" w:themeColor="text2"/>
    </w:rPr>
  </w:style>
  <w:style w:type="character" w:customStyle="1" w:styleId="OBElegendfiguresChar">
    <w:name w:val="OBE legend figures Char"/>
    <w:basedOn w:val="CaptionChar"/>
    <w:link w:val="OBElegendfigures"/>
    <w:rsid w:val="005B1732"/>
    <w:rPr>
      <w:b/>
      <w:bCs/>
      <w:i/>
      <w:smallCaps/>
      <w:color w:val="44546A" w:themeColor="text2"/>
    </w:rPr>
  </w:style>
  <w:style w:type="character" w:customStyle="1" w:styleId="OBElegendtablesChar">
    <w:name w:val="OBE legend tables Char"/>
    <w:basedOn w:val="OBElegendfiguresChar"/>
    <w:link w:val="OBElegendtables"/>
    <w:rsid w:val="005B1732"/>
    <w:rPr>
      <w:b/>
      <w:bCs/>
      <w:i/>
      <w:smallCaps/>
      <w:color w:val="44546A" w:themeColor="text2"/>
    </w:rPr>
  </w:style>
  <w:style w:type="character" w:customStyle="1" w:styleId="UnresolvedMention1">
    <w:name w:val="Unresolved Mention1"/>
    <w:basedOn w:val="DefaultParagraphFont"/>
    <w:uiPriority w:val="99"/>
    <w:semiHidden/>
    <w:unhideWhenUsed/>
    <w:rsid w:val="0038721C"/>
    <w:rPr>
      <w:color w:val="605E5C"/>
      <w:shd w:val="clear" w:color="auto" w:fill="E1DFDD"/>
    </w:rPr>
  </w:style>
  <w:style w:type="table" w:styleId="TableGrid">
    <w:name w:val="Table Grid"/>
    <w:basedOn w:val="TableNormal"/>
    <w:uiPriority w:val="39"/>
    <w:rsid w:val="00D6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7217">
      <w:bodyDiv w:val="1"/>
      <w:marLeft w:val="0"/>
      <w:marRight w:val="0"/>
      <w:marTop w:val="0"/>
      <w:marBottom w:val="0"/>
      <w:divBdr>
        <w:top w:val="none" w:sz="0" w:space="0" w:color="auto"/>
        <w:left w:val="none" w:sz="0" w:space="0" w:color="auto"/>
        <w:bottom w:val="none" w:sz="0" w:space="0" w:color="auto"/>
        <w:right w:val="none" w:sz="0" w:space="0" w:color="auto"/>
      </w:divBdr>
    </w:div>
    <w:div w:id="372273424">
      <w:bodyDiv w:val="1"/>
      <w:marLeft w:val="0"/>
      <w:marRight w:val="0"/>
      <w:marTop w:val="0"/>
      <w:marBottom w:val="0"/>
      <w:divBdr>
        <w:top w:val="none" w:sz="0" w:space="0" w:color="auto"/>
        <w:left w:val="none" w:sz="0" w:space="0" w:color="auto"/>
        <w:bottom w:val="none" w:sz="0" w:space="0" w:color="auto"/>
        <w:right w:val="none" w:sz="0" w:space="0" w:color="auto"/>
      </w:divBdr>
    </w:div>
    <w:div w:id="756097393">
      <w:bodyDiv w:val="1"/>
      <w:marLeft w:val="0"/>
      <w:marRight w:val="0"/>
      <w:marTop w:val="0"/>
      <w:marBottom w:val="0"/>
      <w:divBdr>
        <w:top w:val="none" w:sz="0" w:space="0" w:color="auto"/>
        <w:left w:val="none" w:sz="0" w:space="0" w:color="auto"/>
        <w:bottom w:val="none" w:sz="0" w:space="0" w:color="auto"/>
        <w:right w:val="none" w:sz="0" w:space="0" w:color="auto"/>
      </w:divBdr>
    </w:div>
    <w:div w:id="805664330">
      <w:bodyDiv w:val="1"/>
      <w:marLeft w:val="0"/>
      <w:marRight w:val="0"/>
      <w:marTop w:val="0"/>
      <w:marBottom w:val="0"/>
      <w:divBdr>
        <w:top w:val="none" w:sz="0" w:space="0" w:color="auto"/>
        <w:left w:val="none" w:sz="0" w:space="0" w:color="auto"/>
        <w:bottom w:val="none" w:sz="0" w:space="0" w:color="auto"/>
        <w:right w:val="none" w:sz="0" w:space="0" w:color="auto"/>
      </w:divBdr>
    </w:div>
    <w:div w:id="825167877">
      <w:bodyDiv w:val="1"/>
      <w:marLeft w:val="0"/>
      <w:marRight w:val="0"/>
      <w:marTop w:val="0"/>
      <w:marBottom w:val="0"/>
      <w:divBdr>
        <w:top w:val="none" w:sz="0" w:space="0" w:color="auto"/>
        <w:left w:val="none" w:sz="0" w:space="0" w:color="auto"/>
        <w:bottom w:val="none" w:sz="0" w:space="0" w:color="auto"/>
        <w:right w:val="none" w:sz="0" w:space="0" w:color="auto"/>
      </w:divBdr>
    </w:div>
    <w:div w:id="858667914">
      <w:bodyDiv w:val="1"/>
      <w:marLeft w:val="0"/>
      <w:marRight w:val="0"/>
      <w:marTop w:val="0"/>
      <w:marBottom w:val="0"/>
      <w:divBdr>
        <w:top w:val="none" w:sz="0" w:space="0" w:color="auto"/>
        <w:left w:val="none" w:sz="0" w:space="0" w:color="auto"/>
        <w:bottom w:val="none" w:sz="0" w:space="0" w:color="auto"/>
        <w:right w:val="none" w:sz="0" w:space="0" w:color="auto"/>
      </w:divBdr>
    </w:div>
    <w:div w:id="1063334505">
      <w:bodyDiv w:val="1"/>
      <w:marLeft w:val="0"/>
      <w:marRight w:val="0"/>
      <w:marTop w:val="0"/>
      <w:marBottom w:val="0"/>
      <w:divBdr>
        <w:top w:val="none" w:sz="0" w:space="0" w:color="auto"/>
        <w:left w:val="none" w:sz="0" w:space="0" w:color="auto"/>
        <w:bottom w:val="none" w:sz="0" w:space="0" w:color="auto"/>
        <w:right w:val="none" w:sz="0" w:space="0" w:color="auto"/>
      </w:divBdr>
    </w:div>
    <w:div w:id="1090466701">
      <w:bodyDiv w:val="1"/>
      <w:marLeft w:val="0"/>
      <w:marRight w:val="0"/>
      <w:marTop w:val="0"/>
      <w:marBottom w:val="0"/>
      <w:divBdr>
        <w:top w:val="none" w:sz="0" w:space="0" w:color="auto"/>
        <w:left w:val="none" w:sz="0" w:space="0" w:color="auto"/>
        <w:bottom w:val="none" w:sz="0" w:space="0" w:color="auto"/>
        <w:right w:val="none" w:sz="0" w:space="0" w:color="auto"/>
      </w:divBdr>
    </w:div>
    <w:div w:id="1161117294">
      <w:bodyDiv w:val="1"/>
      <w:marLeft w:val="0"/>
      <w:marRight w:val="0"/>
      <w:marTop w:val="0"/>
      <w:marBottom w:val="0"/>
      <w:divBdr>
        <w:top w:val="none" w:sz="0" w:space="0" w:color="auto"/>
        <w:left w:val="none" w:sz="0" w:space="0" w:color="auto"/>
        <w:bottom w:val="none" w:sz="0" w:space="0" w:color="auto"/>
        <w:right w:val="none" w:sz="0" w:space="0" w:color="auto"/>
      </w:divBdr>
    </w:div>
    <w:div w:id="1479028448">
      <w:bodyDiv w:val="1"/>
      <w:marLeft w:val="0"/>
      <w:marRight w:val="0"/>
      <w:marTop w:val="0"/>
      <w:marBottom w:val="0"/>
      <w:divBdr>
        <w:top w:val="none" w:sz="0" w:space="0" w:color="auto"/>
        <w:left w:val="none" w:sz="0" w:space="0" w:color="auto"/>
        <w:bottom w:val="none" w:sz="0" w:space="0" w:color="auto"/>
        <w:right w:val="none" w:sz="0" w:space="0" w:color="auto"/>
      </w:divBdr>
    </w:div>
    <w:div w:id="1848445120">
      <w:bodyDiv w:val="1"/>
      <w:marLeft w:val="0"/>
      <w:marRight w:val="0"/>
      <w:marTop w:val="0"/>
      <w:marBottom w:val="0"/>
      <w:divBdr>
        <w:top w:val="none" w:sz="0" w:space="0" w:color="auto"/>
        <w:left w:val="none" w:sz="0" w:space="0" w:color="auto"/>
        <w:bottom w:val="none" w:sz="0" w:space="0" w:color="auto"/>
        <w:right w:val="none" w:sz="0" w:space="0" w:color="auto"/>
      </w:divBdr>
    </w:div>
    <w:div w:id="2003506855">
      <w:bodyDiv w:val="1"/>
      <w:marLeft w:val="0"/>
      <w:marRight w:val="0"/>
      <w:marTop w:val="0"/>
      <w:marBottom w:val="0"/>
      <w:divBdr>
        <w:top w:val="none" w:sz="0" w:space="0" w:color="auto"/>
        <w:left w:val="none" w:sz="0" w:space="0" w:color="auto"/>
        <w:bottom w:val="none" w:sz="0" w:space="0" w:color="auto"/>
        <w:right w:val="none" w:sz="0" w:space="0" w:color="auto"/>
      </w:divBdr>
    </w:div>
    <w:div w:id="20205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0624%20Consumer%20Goods%20and%20Data%20Economy\UK%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65638216384772E-2"/>
          <c:y val="5.0925925925925923E-2"/>
          <c:w val="0.7359863212119232"/>
          <c:h val="0.81421916010498685"/>
        </c:manualLayout>
      </c:layout>
      <c:lineChart>
        <c:grouping val="standard"/>
        <c:varyColors val="0"/>
        <c:ser>
          <c:idx val="2"/>
          <c:order val="0"/>
          <c:tx>
            <c:strRef>
              <c:f>Sayfa1!$O$2</c:f>
              <c:strCache>
                <c:ptCount val="1"/>
                <c:pt idx="0">
                  <c:v>Clothing and footwear</c:v>
                </c:pt>
              </c:strCache>
            </c:strRef>
          </c:tx>
          <c:spPr>
            <a:ln w="28575" cap="rnd">
              <a:solidFill>
                <a:schemeClr val="accent3"/>
              </a:solidFill>
              <a:round/>
            </a:ln>
            <a:effectLst/>
          </c:spPr>
          <c:marker>
            <c:symbol val="none"/>
          </c:marker>
          <c:cat>
            <c:numRef>
              <c:f>Sayfa1!$L$3:$L$25</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Sayfa1!$O$3:$O$25</c:f>
              <c:numCache>
                <c:formatCode>0</c:formatCode>
                <c:ptCount val="23"/>
                <c:pt idx="0">
                  <c:v>100</c:v>
                </c:pt>
                <c:pt idx="1">
                  <c:v>110.05021760964178</c:v>
                </c:pt>
                <c:pt idx="2">
                  <c:v>120.95748242383661</c:v>
                </c:pt>
                <c:pt idx="3">
                  <c:v>138.48008034817542</c:v>
                </c:pt>
                <c:pt idx="4">
                  <c:v>159.65182457315032</c:v>
                </c:pt>
                <c:pt idx="5">
                  <c:v>186.15333110143956</c:v>
                </c:pt>
                <c:pt idx="6">
                  <c:v>206.11315701372615</c:v>
                </c:pt>
                <c:pt idx="7">
                  <c:v>221.47304988282559</c:v>
                </c:pt>
                <c:pt idx="8">
                  <c:v>240.22095748242384</c:v>
                </c:pt>
                <c:pt idx="9">
                  <c:v>260.38165383327754</c:v>
                </c:pt>
                <c:pt idx="10">
                  <c:v>276.87981252092402</c:v>
                </c:pt>
                <c:pt idx="11">
                  <c:v>307.33846668898559</c:v>
                </c:pt>
                <c:pt idx="12">
                  <c:v>337.05390023434887</c:v>
                </c:pt>
                <c:pt idx="13">
                  <c:v>349.96317375292938</c:v>
                </c:pt>
                <c:pt idx="14">
                  <c:v>359.57817207900905</c:v>
                </c:pt>
                <c:pt idx="15">
                  <c:v>367.51255440241044</c:v>
                </c:pt>
                <c:pt idx="16">
                  <c:v>393.2306662202879</c:v>
                </c:pt>
                <c:pt idx="17">
                  <c:v>401.1650485436893</c:v>
                </c:pt>
                <c:pt idx="18">
                  <c:v>419.12956143287579</c:v>
                </c:pt>
                <c:pt idx="19">
                  <c:v>433.67258118513564</c:v>
                </c:pt>
                <c:pt idx="20">
                  <c:v>437.28824907934387</c:v>
                </c:pt>
                <c:pt idx="21">
                  <c:v>438.29929695346505</c:v>
                </c:pt>
                <c:pt idx="22">
                  <c:v>470.40508871777701</c:v>
                </c:pt>
              </c:numCache>
            </c:numRef>
          </c:val>
          <c:smooth val="0"/>
          <c:extLst>
            <c:ext xmlns:c16="http://schemas.microsoft.com/office/drawing/2014/chart" uri="{C3380CC4-5D6E-409C-BE32-E72D297353CC}">
              <c16:uniqueId val="{00000000-4355-4061-B55A-F9251712B7D9}"/>
            </c:ext>
          </c:extLst>
        </c:ser>
        <c:ser>
          <c:idx val="4"/>
          <c:order val="1"/>
          <c:tx>
            <c:strRef>
              <c:f>Sayfa1!$Q$2</c:f>
              <c:strCache>
                <c:ptCount val="1"/>
                <c:pt idx="0">
                  <c:v>Misc.</c:v>
                </c:pt>
              </c:strCache>
            </c:strRef>
          </c:tx>
          <c:spPr>
            <a:ln w="28575" cap="rnd">
              <a:solidFill>
                <a:schemeClr val="accent5"/>
              </a:solidFill>
              <a:round/>
            </a:ln>
            <a:effectLst/>
          </c:spPr>
          <c:marker>
            <c:symbol val="none"/>
          </c:marker>
          <c:cat>
            <c:numRef>
              <c:f>Sayfa1!$L$3:$L$25</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Sayfa1!$Q$3:$Q$25</c:f>
              <c:numCache>
                <c:formatCode>0</c:formatCode>
                <c:ptCount val="23"/>
                <c:pt idx="0">
                  <c:v>100</c:v>
                </c:pt>
                <c:pt idx="1">
                  <c:v>101.81462239289209</c:v>
                </c:pt>
                <c:pt idx="2">
                  <c:v>106.33235449137865</c:v>
                </c:pt>
                <c:pt idx="3">
                  <c:v>112.43129282433553</c:v>
                </c:pt>
                <c:pt idx="4">
                  <c:v>120.37497176417438</c:v>
                </c:pt>
                <c:pt idx="5">
                  <c:v>132.91920789097207</c:v>
                </c:pt>
                <c:pt idx="6">
                  <c:v>141.68360816203599</c:v>
                </c:pt>
                <c:pt idx="7">
                  <c:v>155.97470070024849</c:v>
                </c:pt>
                <c:pt idx="8">
                  <c:v>155.3949250809427</c:v>
                </c:pt>
                <c:pt idx="9">
                  <c:v>161.01950154355848</c:v>
                </c:pt>
                <c:pt idx="10">
                  <c:v>162.01340260522551</c:v>
                </c:pt>
                <c:pt idx="11">
                  <c:v>152.55628341239364</c:v>
                </c:pt>
                <c:pt idx="12">
                  <c:v>146.48746329342671</c:v>
                </c:pt>
                <c:pt idx="13">
                  <c:v>147.84278292297267</c:v>
                </c:pt>
                <c:pt idx="14">
                  <c:v>143.60364430389279</c:v>
                </c:pt>
                <c:pt idx="15">
                  <c:v>153.40712295760861</c:v>
                </c:pt>
                <c:pt idx="16">
                  <c:v>153.09088171071454</c:v>
                </c:pt>
                <c:pt idx="17">
                  <c:v>172.54724794819666</c:v>
                </c:pt>
                <c:pt idx="18">
                  <c:v>190.74617875160001</c:v>
                </c:pt>
                <c:pt idx="19">
                  <c:v>201.60379489496273</c:v>
                </c:pt>
                <c:pt idx="20">
                  <c:v>215.64641216775846</c:v>
                </c:pt>
                <c:pt idx="21">
                  <c:v>240.20028612303292</c:v>
                </c:pt>
                <c:pt idx="22">
                  <c:v>258.18838942850692</c:v>
                </c:pt>
              </c:numCache>
            </c:numRef>
          </c:val>
          <c:smooth val="0"/>
          <c:extLst>
            <c:ext xmlns:c16="http://schemas.microsoft.com/office/drawing/2014/chart" uri="{C3380CC4-5D6E-409C-BE32-E72D297353CC}">
              <c16:uniqueId val="{00000001-4355-4061-B55A-F9251712B7D9}"/>
            </c:ext>
          </c:extLst>
        </c:ser>
        <c:ser>
          <c:idx val="3"/>
          <c:order val="2"/>
          <c:tx>
            <c:strRef>
              <c:f>Sayfa1!$P$2</c:f>
              <c:strCache>
                <c:ptCount val="1"/>
                <c:pt idx="0">
                  <c:v>Furnishings</c:v>
                </c:pt>
              </c:strCache>
            </c:strRef>
          </c:tx>
          <c:spPr>
            <a:ln w="28575" cap="rnd">
              <a:solidFill>
                <a:schemeClr val="accent4"/>
              </a:solidFill>
              <a:round/>
            </a:ln>
            <a:effectLst/>
          </c:spPr>
          <c:marker>
            <c:symbol val="none"/>
          </c:marker>
          <c:cat>
            <c:numRef>
              <c:f>Sayfa1!$L$3:$L$25</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Sayfa1!$P$3:$P$25</c:f>
              <c:numCache>
                <c:formatCode>0</c:formatCode>
                <c:ptCount val="23"/>
                <c:pt idx="0">
                  <c:v>100</c:v>
                </c:pt>
                <c:pt idx="1">
                  <c:v>106.05661442511895</c:v>
                </c:pt>
                <c:pt idx="2">
                  <c:v>110.02446302319954</c:v>
                </c:pt>
                <c:pt idx="3">
                  <c:v>118.87685152826688</c:v>
                </c:pt>
                <c:pt idx="4">
                  <c:v>128.27226538347804</c:v>
                </c:pt>
                <c:pt idx="5">
                  <c:v>132.37721444124841</c:v>
                </c:pt>
                <c:pt idx="6">
                  <c:v>133.97940804860346</c:v>
                </c:pt>
                <c:pt idx="7">
                  <c:v>134.37189171751928</c:v>
                </c:pt>
                <c:pt idx="8">
                  <c:v>137.36928412054087</c:v>
                </c:pt>
                <c:pt idx="9">
                  <c:v>141.90972875614935</c:v>
                </c:pt>
                <c:pt idx="10">
                  <c:v>145.05497459609128</c:v>
                </c:pt>
                <c:pt idx="11">
                  <c:v>135.42837173042287</c:v>
                </c:pt>
                <c:pt idx="12">
                  <c:v>124.95766015215463</c:v>
                </c:pt>
                <c:pt idx="13">
                  <c:v>125.97919298905884</c:v>
                </c:pt>
                <c:pt idx="14">
                  <c:v>123.86354471894406</c:v>
                </c:pt>
                <c:pt idx="15">
                  <c:v>122.62964058173607</c:v>
                </c:pt>
                <c:pt idx="16">
                  <c:v>124.02752762171025</c:v>
                </c:pt>
                <c:pt idx="17">
                  <c:v>128.29377133793921</c:v>
                </c:pt>
                <c:pt idx="18">
                  <c:v>138.78061238205328</c:v>
                </c:pt>
                <c:pt idx="19">
                  <c:v>146.02005430253502</c:v>
                </c:pt>
                <c:pt idx="20">
                  <c:v>156.92357321433371</c:v>
                </c:pt>
                <c:pt idx="21">
                  <c:v>170.21962955993442</c:v>
                </c:pt>
                <c:pt idx="22">
                  <c:v>176.13107879244066</c:v>
                </c:pt>
              </c:numCache>
            </c:numRef>
          </c:val>
          <c:smooth val="0"/>
          <c:extLst>
            <c:ext xmlns:c16="http://schemas.microsoft.com/office/drawing/2014/chart" uri="{C3380CC4-5D6E-409C-BE32-E72D297353CC}">
              <c16:uniqueId val="{00000002-4355-4061-B55A-F9251712B7D9}"/>
            </c:ext>
          </c:extLst>
        </c:ser>
        <c:ser>
          <c:idx val="0"/>
          <c:order val="3"/>
          <c:tx>
            <c:strRef>
              <c:f>Sayfa1!$M$2</c:f>
              <c:strCache>
                <c:ptCount val="1"/>
                <c:pt idx="0">
                  <c:v>Food and drink</c:v>
                </c:pt>
              </c:strCache>
            </c:strRef>
          </c:tx>
          <c:spPr>
            <a:ln w="28575" cap="rnd">
              <a:solidFill>
                <a:schemeClr val="accent1"/>
              </a:solidFill>
              <a:round/>
            </a:ln>
            <a:effectLst/>
          </c:spPr>
          <c:marker>
            <c:symbol val="none"/>
          </c:marker>
          <c:cat>
            <c:numRef>
              <c:f>Sayfa1!$L$3:$L$25</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Sayfa1!$M$3:$M$25</c:f>
              <c:numCache>
                <c:formatCode>0</c:formatCode>
                <c:ptCount val="23"/>
                <c:pt idx="0">
                  <c:v>100</c:v>
                </c:pt>
                <c:pt idx="1">
                  <c:v>103.03342028240077</c:v>
                </c:pt>
                <c:pt idx="2">
                  <c:v>105.1312196137502</c:v>
                </c:pt>
                <c:pt idx="3">
                  <c:v>105.23898747198648</c:v>
                </c:pt>
                <c:pt idx="4">
                  <c:v>106.42688318209095</c:v>
                </c:pt>
                <c:pt idx="5">
                  <c:v>107.24861310114258</c:v>
                </c:pt>
                <c:pt idx="6">
                  <c:v>111.30827730629341</c:v>
                </c:pt>
                <c:pt idx="7">
                  <c:v>112.76559266198856</c:v>
                </c:pt>
                <c:pt idx="8">
                  <c:v>114.14085748925382</c:v>
                </c:pt>
                <c:pt idx="9">
                  <c:v>114.36863955325325</c:v>
                </c:pt>
                <c:pt idx="10">
                  <c:v>114.48253058525295</c:v>
                </c:pt>
                <c:pt idx="11">
                  <c:v>109.61828134758808</c:v>
                </c:pt>
                <c:pt idx="12">
                  <c:v>106.51750615378963</c:v>
                </c:pt>
                <c:pt idx="13">
                  <c:v>103.51960027921672</c:v>
                </c:pt>
                <c:pt idx="14">
                  <c:v>105.8255875185226</c:v>
                </c:pt>
                <c:pt idx="15">
                  <c:v>104.58258324454732</c:v>
                </c:pt>
                <c:pt idx="16">
                  <c:v>106.74528821778904</c:v>
                </c:pt>
                <c:pt idx="17">
                  <c:v>110.02730935498488</c:v>
                </c:pt>
                <c:pt idx="18">
                  <c:v>108.92881198182643</c:v>
                </c:pt>
                <c:pt idx="19">
                  <c:v>116.63176457621513</c:v>
                </c:pt>
                <c:pt idx="20">
                  <c:v>120.61305215719412</c:v>
                </c:pt>
                <c:pt idx="21">
                  <c:v>122.72799637508113</c:v>
                </c:pt>
                <c:pt idx="22">
                  <c:v>123.59258851047674</c:v>
                </c:pt>
              </c:numCache>
            </c:numRef>
          </c:val>
          <c:smooth val="0"/>
          <c:extLst>
            <c:ext xmlns:c16="http://schemas.microsoft.com/office/drawing/2014/chart" uri="{C3380CC4-5D6E-409C-BE32-E72D297353CC}">
              <c16:uniqueId val="{00000003-4355-4061-B55A-F9251712B7D9}"/>
            </c:ext>
          </c:extLst>
        </c:ser>
        <c:ser>
          <c:idx val="1"/>
          <c:order val="4"/>
          <c:tx>
            <c:strRef>
              <c:f>Sayfa1!$N$2</c:f>
              <c:strCache>
                <c:ptCount val="1"/>
                <c:pt idx="0">
                  <c:v>Alcohol and tobacco</c:v>
                </c:pt>
              </c:strCache>
            </c:strRef>
          </c:tx>
          <c:spPr>
            <a:ln w="28575" cap="rnd">
              <a:solidFill>
                <a:schemeClr val="accent2"/>
              </a:solidFill>
              <a:round/>
            </a:ln>
            <a:effectLst/>
          </c:spPr>
          <c:marker>
            <c:symbol val="none"/>
          </c:marker>
          <c:cat>
            <c:numRef>
              <c:f>Sayfa1!$L$3:$L$25</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Sayfa1!$N$3:$N$25</c:f>
              <c:numCache>
                <c:formatCode>0</c:formatCode>
                <c:ptCount val="23"/>
                <c:pt idx="0">
                  <c:v>100</c:v>
                </c:pt>
                <c:pt idx="1">
                  <c:v>99.479090510308524</c:v>
                </c:pt>
                <c:pt idx="2">
                  <c:v>98.643807574206761</c:v>
                </c:pt>
                <c:pt idx="3">
                  <c:v>96.512648047960226</c:v>
                </c:pt>
                <c:pt idx="4">
                  <c:v>95.331919871326221</c:v>
                </c:pt>
                <c:pt idx="5">
                  <c:v>96.68811229711946</c:v>
                </c:pt>
                <c:pt idx="6">
                  <c:v>98.088170785202507</c:v>
                </c:pt>
                <c:pt idx="7">
                  <c:v>95.67188185407224</c:v>
                </c:pt>
                <c:pt idx="8">
                  <c:v>97.071940342155287</c:v>
                </c:pt>
                <c:pt idx="9">
                  <c:v>94.255373592630491</c:v>
                </c:pt>
                <c:pt idx="10">
                  <c:v>92.208290685772781</c:v>
                </c:pt>
                <c:pt idx="11">
                  <c:v>92.023687673636502</c:v>
                </c:pt>
                <c:pt idx="12">
                  <c:v>90.740605351659596</c:v>
                </c:pt>
                <c:pt idx="13">
                  <c:v>89.21260418189793</c:v>
                </c:pt>
                <c:pt idx="14">
                  <c:v>86.686650095043134</c:v>
                </c:pt>
                <c:pt idx="15">
                  <c:v>83.767729200175467</c:v>
                </c:pt>
                <c:pt idx="16">
                  <c:v>83.913949407808161</c:v>
                </c:pt>
                <c:pt idx="17">
                  <c:v>80.845152800116978</c:v>
                </c:pt>
                <c:pt idx="18">
                  <c:v>77.482088024565002</c:v>
                </c:pt>
                <c:pt idx="19">
                  <c:v>74.932373153969877</c:v>
                </c:pt>
                <c:pt idx="20">
                  <c:v>73.916142710922657</c:v>
                </c:pt>
                <c:pt idx="21">
                  <c:v>74.904956865038756</c:v>
                </c:pt>
                <c:pt idx="22">
                  <c:v>73.185041672759183</c:v>
                </c:pt>
              </c:numCache>
            </c:numRef>
          </c:val>
          <c:smooth val="0"/>
          <c:extLst>
            <c:ext xmlns:c16="http://schemas.microsoft.com/office/drawing/2014/chart" uri="{C3380CC4-5D6E-409C-BE32-E72D297353CC}">
              <c16:uniqueId val="{00000004-4355-4061-B55A-F9251712B7D9}"/>
            </c:ext>
          </c:extLst>
        </c:ser>
        <c:dLbls>
          <c:showLegendKey val="0"/>
          <c:showVal val="0"/>
          <c:showCatName val="0"/>
          <c:showSerName val="0"/>
          <c:showPercent val="0"/>
          <c:showBubbleSize val="0"/>
        </c:dLbls>
        <c:smooth val="0"/>
        <c:axId val="984616080"/>
        <c:axId val="984619408"/>
      </c:lineChart>
      <c:catAx>
        <c:axId val="98461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619408"/>
        <c:crosses val="autoZero"/>
        <c:auto val="1"/>
        <c:lblAlgn val="ctr"/>
        <c:lblOffset val="100"/>
        <c:noMultiLvlLbl val="0"/>
      </c:catAx>
      <c:valAx>
        <c:axId val="984619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616080"/>
        <c:crosses val="autoZero"/>
        <c:crossBetween val="between"/>
      </c:valAx>
      <c:spPr>
        <a:noFill/>
        <a:ln>
          <a:noFill/>
        </a:ln>
        <a:effectLst/>
      </c:spPr>
    </c:plotArea>
    <c:legend>
      <c:legendPos val="b"/>
      <c:layout>
        <c:manualLayout>
          <c:xMode val="edge"/>
          <c:yMode val="edge"/>
          <c:x val="0.79331325804191488"/>
          <c:y val="0.28124890638670164"/>
          <c:w val="0.20406043642884891"/>
          <c:h val="0.556714056576261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73C766-7A7F-914F-866B-C04A30C4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7108</Words>
  <Characters>40520</Characters>
  <Application>Microsoft Office Word</Application>
  <DocSecurity>0</DocSecurity>
  <Lines>337</Lines>
  <Paragraphs>95</Paragraphs>
  <ScaleCrop>false</ScaleCrop>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2020-05-12T13:13:00Z</dcterms:created>
  <dcterms:modified xsi:type="dcterms:W3CDTF">2020-05-12T13:13:00Z</dcterms:modified>
</cp:coreProperties>
</file>