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xml" ContentType="application/vnd.ms-office.webextension+xml"/>
  <Override PartName="/word/glossary/document.xml" ContentType="application/vnd.openxmlformats-officedocument.wordprocessingml.document.glossary+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11/relationships/webextensiontaskpanes" Target="word/webextensions/taskpanes.xml" Id="R3e0a0eb24d344c5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DE73C4C" w14:paraId="62B00E7E" wp14:textId="31A4A506">
      <w:pPr>
        <w:pStyle w:val="Heading2"/>
        <w:rPr>
          <w:rFonts w:ascii="Arial" w:hAnsi="Arial" w:eastAsia="Arial" w:cs="Arial"/>
          <w:b w:val="1"/>
          <w:bCs w:val="1"/>
          <w:noProof w:val="0"/>
          <w:color w:val="auto"/>
          <w:sz w:val="24"/>
          <w:szCs w:val="24"/>
          <w:lang w:val="es"/>
        </w:rPr>
      </w:pPr>
      <w:r w:rsidR="2985AB63">
        <w:drawing>
          <wp:inline xmlns:wp14="http://schemas.microsoft.com/office/word/2010/wordprocessingDrawing" wp14:editId="19FB090E" wp14:anchorId="37C08045">
            <wp:extent cx="1181100" cy="1181100"/>
            <wp:effectExtent l="0" t="0" r="0" b="0"/>
            <wp:docPr id="1107519900" name="" title=""/>
            <wp:cNvGraphicFramePr>
              <a:graphicFrameLocks noChangeAspect="1"/>
            </wp:cNvGraphicFramePr>
            <a:graphic>
              <a:graphicData uri="http://schemas.openxmlformats.org/drawingml/2006/picture">
                <pic:pic>
                  <pic:nvPicPr>
                    <pic:cNvPr id="0" name=""/>
                    <pic:cNvPicPr/>
                  </pic:nvPicPr>
                  <pic:blipFill>
                    <a:blip r:embed="Rfb2736f8d7e1443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181100" cy="1181100"/>
                    </a:xfrm>
                    <a:prstGeom prst="rect">
                      <a:avLst/>
                    </a:prstGeom>
                  </pic:spPr>
                </pic:pic>
              </a:graphicData>
            </a:graphic>
          </wp:inline>
        </w:drawing>
      </w:r>
      <w:r w:rsidRPr="19FB090E" w:rsidR="60298999">
        <w:rPr>
          <w:rFonts w:ascii="Arial" w:hAnsi="Arial" w:eastAsia="Arial" w:cs="Arial"/>
          <w:noProof w:val="0"/>
          <w:sz w:val="24"/>
          <w:szCs w:val="24"/>
          <w:lang w:val="es"/>
        </w:rPr>
        <w:t xml:space="preserve">            </w:t>
      </w:r>
      <w:r w:rsidRPr="19FB090E" w:rsidR="60298999">
        <w:rPr>
          <w:rFonts w:ascii="Arial" w:hAnsi="Arial" w:eastAsia="Arial" w:cs="Arial"/>
          <w:b w:val="1"/>
          <w:bCs w:val="1"/>
          <w:noProof w:val="0"/>
          <w:color w:val="auto"/>
          <w:sz w:val="24"/>
          <w:szCs w:val="24"/>
          <w:lang w:val="es"/>
        </w:rPr>
        <w:t xml:space="preserve"> </w:t>
      </w:r>
      <w:r w:rsidRPr="19FB090E" w:rsidR="60298999">
        <w:rPr>
          <w:rFonts w:ascii="Arial" w:hAnsi="Arial" w:eastAsia="Arial" w:cs="Arial"/>
          <w:b w:val="1"/>
          <w:bCs w:val="1"/>
          <w:noProof w:val="0"/>
          <w:color w:val="auto"/>
          <w:sz w:val="24"/>
          <w:szCs w:val="24"/>
          <w:lang w:val="es"/>
        </w:rPr>
        <w:t>Universidad Central del Ecuador</w:t>
      </w:r>
    </w:p>
    <w:p xmlns:wp14="http://schemas.microsoft.com/office/word/2010/wordml" w:rsidP="1DE73C4C" w14:paraId="3DDB9818" wp14:textId="3C3DE84A">
      <w:pPr>
        <w:jc w:val="center"/>
        <w:rPr>
          <w:rFonts w:ascii="Arial" w:hAnsi="Arial" w:eastAsia="Arial" w:cs="Arial"/>
          <w:b w:val="1"/>
          <w:bCs w:val="1"/>
          <w:noProof w:val="0"/>
          <w:color w:val="auto"/>
          <w:sz w:val="24"/>
          <w:szCs w:val="24"/>
          <w:lang w:val="es"/>
        </w:rPr>
      </w:pPr>
      <w:r w:rsidRPr="1DE73C4C" w:rsidR="2E12FBA3">
        <w:rPr>
          <w:rFonts w:ascii="Arial" w:hAnsi="Arial" w:eastAsia="Arial" w:cs="Arial"/>
          <w:b w:val="1"/>
          <w:bCs w:val="1"/>
          <w:noProof w:val="0"/>
          <w:color w:val="auto"/>
          <w:sz w:val="24"/>
          <w:szCs w:val="24"/>
          <w:lang w:val="es"/>
        </w:rPr>
        <w:t>Facultad de Ciencias Agrícolas</w:t>
      </w:r>
    </w:p>
    <w:p xmlns:wp14="http://schemas.microsoft.com/office/word/2010/wordml" w:rsidP="1DE73C4C" w14:paraId="129A476C" wp14:textId="354D9461">
      <w:pPr>
        <w:pStyle w:val="Normal"/>
        <w:rPr>
          <w:b w:val="1"/>
          <w:bCs w:val="1"/>
          <w:color w:val="auto"/>
        </w:rPr>
      </w:pPr>
    </w:p>
    <w:p xmlns:wp14="http://schemas.microsoft.com/office/word/2010/wordml" w:rsidP="1DE73C4C" w14:paraId="118EACDC" wp14:textId="753B34B5">
      <w:pPr>
        <w:pStyle w:val="Heading2"/>
      </w:pPr>
      <w:r w:rsidRPr="1DE73C4C" w:rsidR="20366EDE">
        <w:rPr>
          <w:rFonts w:ascii="Arial" w:hAnsi="Arial" w:eastAsia="Arial" w:cs="Arial"/>
          <w:noProof w:val="0"/>
          <w:sz w:val="24"/>
          <w:szCs w:val="24"/>
          <w:lang w:val="es"/>
        </w:rPr>
        <w:t xml:space="preserve">                                          </w:t>
      </w:r>
      <w:r w:rsidRPr="1DE73C4C" w:rsidR="20366EDE">
        <w:rPr>
          <w:rFonts w:ascii="Arial" w:hAnsi="Arial" w:eastAsia="Arial" w:cs="Arial"/>
          <w:noProof w:val="0"/>
          <w:sz w:val="20"/>
          <w:szCs w:val="20"/>
          <w:lang w:val="es"/>
        </w:rPr>
        <w:t xml:space="preserve"> </w:t>
      </w:r>
    </w:p>
    <w:p xmlns:wp14="http://schemas.microsoft.com/office/word/2010/wordml" w14:paraId="5D5FED01" wp14:textId="1AC7BE91">
      <w:r w:rsidRPr="1DE73C4C" w:rsidR="20366EDE">
        <w:rPr>
          <w:rFonts w:ascii="Arial" w:hAnsi="Arial" w:eastAsia="Arial" w:cs="Arial"/>
          <w:noProof w:val="0"/>
          <w:sz w:val="27"/>
          <w:szCs w:val="27"/>
          <w:lang w:val="es"/>
        </w:rPr>
        <w:t xml:space="preserve"> </w:t>
      </w:r>
    </w:p>
    <w:p xmlns:wp14="http://schemas.microsoft.com/office/word/2010/wordml" w:rsidP="1DE73C4C" w14:paraId="77E5EA9C" wp14:textId="10C762FE">
      <w:pPr>
        <w:tabs>
          <w:tab w:val="left" w:leader="none" w:pos="5802"/>
        </w:tabs>
      </w:pPr>
      <w:r w:rsidRPr="1DE73C4C" w:rsidR="20366EDE">
        <w:rPr>
          <w:rFonts w:ascii="Arial" w:hAnsi="Arial" w:eastAsia="Arial" w:cs="Arial"/>
          <w:b w:val="1"/>
          <w:bCs w:val="1"/>
          <w:noProof w:val="0"/>
          <w:sz w:val="24"/>
          <w:szCs w:val="24"/>
          <w:lang w:val="es"/>
        </w:rPr>
        <w:t xml:space="preserve">Nombre: </w:t>
      </w:r>
      <w:r w:rsidRPr="1DE73C4C" w:rsidR="20366EDE">
        <w:rPr>
          <w:rFonts w:ascii="Arial" w:hAnsi="Arial" w:eastAsia="Arial" w:cs="Arial"/>
          <w:noProof w:val="0"/>
          <w:sz w:val="24"/>
          <w:szCs w:val="24"/>
          <w:lang w:val="es"/>
        </w:rPr>
        <w:t>Darlin</w:t>
      </w:r>
      <w:r w:rsidRPr="1DE73C4C" w:rsidR="20366EDE">
        <w:rPr>
          <w:rFonts w:ascii="Arial" w:hAnsi="Arial" w:eastAsia="Arial" w:cs="Arial"/>
          <w:noProof w:val="0"/>
          <w:sz w:val="24"/>
          <w:szCs w:val="24"/>
          <w:lang w:val="es"/>
        </w:rPr>
        <w:t xml:space="preserve"> Vásquez</w:t>
      </w:r>
      <w:r w:rsidRPr="1DE73C4C" w:rsidR="20366EDE">
        <w:rPr>
          <w:rFonts w:ascii="Arial" w:hAnsi="Arial" w:eastAsia="Arial" w:cs="Arial"/>
          <w:b w:val="1"/>
          <w:bCs w:val="1"/>
          <w:noProof w:val="0"/>
          <w:sz w:val="24"/>
          <w:szCs w:val="24"/>
          <w:lang w:val="es"/>
        </w:rPr>
        <w:t xml:space="preserve"> </w:t>
      </w:r>
      <w:r w:rsidRPr="1DE73C4C" w:rsidR="20366EDE">
        <w:rPr>
          <w:rFonts w:ascii="Arial" w:hAnsi="Arial" w:eastAsia="Arial" w:cs="Arial"/>
          <w:noProof w:val="0"/>
          <w:sz w:val="24"/>
          <w:szCs w:val="24"/>
          <w:lang w:val="es"/>
        </w:rPr>
        <w:t xml:space="preserve">                                </w:t>
      </w:r>
      <w:r w:rsidRPr="1DE73C4C" w:rsidR="20366EDE">
        <w:rPr>
          <w:rFonts w:ascii="Arial" w:hAnsi="Arial" w:eastAsia="Arial" w:cs="Arial"/>
          <w:b w:val="1"/>
          <w:bCs w:val="1"/>
          <w:noProof w:val="0"/>
          <w:sz w:val="24"/>
          <w:szCs w:val="24"/>
          <w:lang w:val="es"/>
        </w:rPr>
        <w:t xml:space="preserve">Docente: </w:t>
      </w:r>
      <w:proofErr w:type="spellStart"/>
      <w:r w:rsidRPr="1DE73C4C" w:rsidR="37D5695E">
        <w:rPr>
          <w:rFonts w:ascii="Arial" w:hAnsi="Arial" w:eastAsia="Arial" w:cs="Arial"/>
          <w:b w:val="0"/>
          <w:bCs w:val="0"/>
          <w:noProof w:val="0"/>
          <w:sz w:val="24"/>
          <w:szCs w:val="24"/>
          <w:lang w:val="es"/>
        </w:rPr>
        <w:t>MSc</w:t>
      </w:r>
      <w:proofErr w:type="spellEnd"/>
      <w:r w:rsidRPr="1DE73C4C" w:rsidR="20366EDE">
        <w:rPr>
          <w:rFonts w:ascii="Arial" w:hAnsi="Arial" w:eastAsia="Arial" w:cs="Arial"/>
          <w:noProof w:val="0"/>
          <w:sz w:val="24"/>
          <w:szCs w:val="24"/>
          <w:lang w:val="es"/>
        </w:rPr>
        <w:t xml:space="preserve">. Ramiro Vivas </w:t>
      </w:r>
    </w:p>
    <w:p xmlns:wp14="http://schemas.microsoft.com/office/word/2010/wordml" w:rsidP="1DE73C4C" w14:paraId="09DF879B" wp14:textId="16F31418">
      <w:pPr>
        <w:tabs>
          <w:tab w:val="left" w:leader="none" w:pos="5799"/>
        </w:tabs>
      </w:pPr>
      <w:r w:rsidRPr="1DE73C4C" w:rsidR="20366EDE">
        <w:rPr>
          <w:rFonts w:ascii="Arial" w:hAnsi="Arial" w:eastAsia="Arial" w:cs="Arial"/>
          <w:b w:val="1"/>
          <w:bCs w:val="1"/>
          <w:noProof w:val="0"/>
          <w:sz w:val="24"/>
          <w:szCs w:val="24"/>
          <w:lang w:val="es"/>
        </w:rPr>
        <w:t xml:space="preserve">Curso: </w:t>
      </w:r>
      <w:r w:rsidRPr="1DE73C4C" w:rsidR="20366EDE">
        <w:rPr>
          <w:rFonts w:ascii="Arial" w:hAnsi="Arial" w:eastAsia="Arial" w:cs="Arial"/>
          <w:noProof w:val="0"/>
          <w:sz w:val="24"/>
          <w:szCs w:val="24"/>
          <w:lang w:val="es"/>
        </w:rPr>
        <w:t xml:space="preserve">Primero                                                </w:t>
      </w:r>
      <w:r w:rsidRPr="1DE73C4C" w:rsidR="20366EDE">
        <w:rPr>
          <w:rFonts w:ascii="Arial" w:hAnsi="Arial" w:eastAsia="Arial" w:cs="Arial"/>
          <w:b w:val="1"/>
          <w:bCs w:val="1"/>
          <w:noProof w:val="0"/>
          <w:sz w:val="24"/>
          <w:szCs w:val="24"/>
          <w:lang w:val="es"/>
        </w:rPr>
        <w:t xml:space="preserve">fecha: </w:t>
      </w:r>
      <w:r w:rsidRPr="1DE73C4C" w:rsidR="20366EDE">
        <w:rPr>
          <w:rFonts w:ascii="Arial" w:hAnsi="Arial" w:eastAsia="Arial" w:cs="Arial"/>
          <w:noProof w:val="0"/>
          <w:sz w:val="24"/>
          <w:szCs w:val="24"/>
          <w:lang w:val="es"/>
        </w:rPr>
        <w:t>1</w:t>
      </w:r>
      <w:r w:rsidRPr="1DE73C4C" w:rsidR="2B0F8436">
        <w:rPr>
          <w:rFonts w:ascii="Arial" w:hAnsi="Arial" w:eastAsia="Arial" w:cs="Arial"/>
          <w:noProof w:val="0"/>
          <w:sz w:val="24"/>
          <w:szCs w:val="24"/>
          <w:lang w:val="es"/>
        </w:rPr>
        <w:t>5</w:t>
      </w:r>
      <w:r w:rsidRPr="1DE73C4C" w:rsidR="20366EDE">
        <w:rPr>
          <w:rFonts w:ascii="Arial" w:hAnsi="Arial" w:eastAsia="Arial" w:cs="Arial"/>
          <w:noProof w:val="0"/>
          <w:sz w:val="24"/>
          <w:szCs w:val="24"/>
          <w:lang w:val="es"/>
        </w:rPr>
        <w:t>-01-2023</w:t>
      </w:r>
    </w:p>
    <w:p xmlns:wp14="http://schemas.microsoft.com/office/word/2010/wordml" w:rsidP="1DE73C4C" w14:paraId="148C2982" wp14:textId="02EAC7F1">
      <w:pPr>
        <w:tabs>
          <w:tab w:val="left" w:leader="none" w:pos="5797"/>
        </w:tabs>
        <w:rPr>
          <w:rFonts w:ascii="Arial" w:hAnsi="Arial" w:eastAsia="Arial" w:cs="Arial"/>
          <w:b w:val="0"/>
          <w:bCs w:val="0"/>
          <w:noProof w:val="0"/>
          <w:sz w:val="24"/>
          <w:szCs w:val="24"/>
          <w:lang w:val="es"/>
        </w:rPr>
      </w:pPr>
      <w:r w:rsidRPr="1DE73C4C" w:rsidR="20366EDE">
        <w:rPr>
          <w:rFonts w:ascii="Arial" w:hAnsi="Arial" w:eastAsia="Arial" w:cs="Arial"/>
          <w:b w:val="1"/>
          <w:bCs w:val="1"/>
          <w:noProof w:val="0"/>
          <w:sz w:val="24"/>
          <w:szCs w:val="24"/>
          <w:lang w:val="es"/>
        </w:rPr>
        <w:t xml:space="preserve">Paralelo: </w:t>
      </w:r>
      <w:r w:rsidRPr="1DE73C4C" w:rsidR="20366EDE">
        <w:rPr>
          <w:rFonts w:ascii="Arial" w:hAnsi="Arial" w:eastAsia="Arial" w:cs="Arial"/>
          <w:noProof w:val="0"/>
          <w:sz w:val="24"/>
          <w:szCs w:val="24"/>
          <w:lang w:val="es"/>
        </w:rPr>
        <w:t xml:space="preserve">001                                                   </w:t>
      </w:r>
      <w:r w:rsidRPr="1DE73C4C" w:rsidR="20366EDE">
        <w:rPr>
          <w:rFonts w:ascii="Arial" w:hAnsi="Arial" w:eastAsia="Arial" w:cs="Arial"/>
          <w:b w:val="1"/>
          <w:bCs w:val="1"/>
          <w:noProof w:val="0"/>
          <w:sz w:val="24"/>
          <w:szCs w:val="24"/>
          <w:lang w:val="es"/>
        </w:rPr>
        <w:t>Tema:</w:t>
      </w:r>
      <w:r w:rsidRPr="1DE73C4C" w:rsidR="65F6687E">
        <w:rPr>
          <w:rFonts w:ascii="Arial" w:hAnsi="Arial" w:eastAsia="Arial" w:cs="Arial"/>
          <w:b w:val="1"/>
          <w:bCs w:val="1"/>
          <w:noProof w:val="0"/>
          <w:sz w:val="24"/>
          <w:szCs w:val="24"/>
          <w:lang w:val="es"/>
        </w:rPr>
        <w:t xml:space="preserve"> </w:t>
      </w:r>
      <w:r w:rsidRPr="1DE73C4C" w:rsidR="65F6687E">
        <w:rPr>
          <w:rFonts w:ascii="Arial" w:hAnsi="Arial" w:eastAsia="Arial" w:cs="Arial"/>
          <w:b w:val="0"/>
          <w:bCs w:val="0"/>
          <w:noProof w:val="0"/>
          <w:sz w:val="24"/>
          <w:szCs w:val="24"/>
          <w:lang w:val="es"/>
        </w:rPr>
        <w:t xml:space="preserve">Seguimiento de lectura </w:t>
      </w:r>
      <w:r w:rsidRPr="1DE73C4C" w:rsidR="20366EDE">
        <w:rPr>
          <w:rFonts w:ascii="Arial" w:hAnsi="Arial" w:eastAsia="Arial" w:cs="Arial"/>
          <w:b w:val="0"/>
          <w:bCs w:val="0"/>
          <w:noProof w:val="0"/>
          <w:sz w:val="24"/>
          <w:szCs w:val="24"/>
          <w:lang w:val="es"/>
        </w:rPr>
        <w:t xml:space="preserve"> </w:t>
      </w:r>
    </w:p>
    <w:p xmlns:wp14="http://schemas.microsoft.com/office/word/2010/wordml" w:rsidP="1DE73C4C" w14:paraId="03079BDF" wp14:textId="741769C3">
      <w:pPr>
        <w:pStyle w:val="Normal"/>
        <w:rPr>
          <w:rFonts w:ascii="Times New Roman" w:hAnsi="Times New Roman" w:eastAsia="Times New Roman" w:cs="Times New Roman"/>
          <w:noProof w:val="0"/>
          <w:sz w:val="20"/>
          <w:szCs w:val="20"/>
          <w:lang w:val="es"/>
        </w:rPr>
      </w:pPr>
    </w:p>
    <w:p xmlns:wp14="http://schemas.microsoft.com/office/word/2010/wordml" w:rsidP="1DE73C4C" w14:paraId="374FE8D8" wp14:textId="1C0615A0">
      <w:pPr>
        <w:pStyle w:val="Normal"/>
        <w:spacing w:line="257" w:lineRule="auto"/>
        <w:rPr>
          <w:rFonts w:ascii="Century Gothic" w:hAnsi="Century Gothic" w:eastAsia="Century Gothic" w:cs="Century Gothic"/>
          <w:b w:val="1"/>
          <w:bCs w:val="1"/>
          <w:noProof w:val="0"/>
          <w:color w:val="auto"/>
          <w:sz w:val="23"/>
          <w:szCs w:val="23"/>
          <w:lang w:val="es"/>
        </w:rPr>
      </w:pPr>
      <w:r w:rsidRPr="1DE73C4C" w:rsidR="4CD15E7A">
        <w:rPr>
          <w:rFonts w:ascii="Times New Roman" w:hAnsi="Times New Roman" w:eastAsia="Times New Roman" w:cs="Times New Roman"/>
          <w:b w:val="1"/>
          <w:bCs w:val="1"/>
          <w:noProof w:val="0"/>
          <w:color w:val="auto"/>
          <w:sz w:val="17"/>
          <w:szCs w:val="17"/>
          <w:lang w:val="es"/>
        </w:rPr>
        <w:t xml:space="preserve"> </w:t>
      </w:r>
      <w:r w:rsidRPr="1DE73C4C" w:rsidR="22ECA47B">
        <w:rPr>
          <w:rFonts w:ascii="Century Gothic" w:hAnsi="Century Gothic" w:eastAsia="Century Gothic" w:cs="Century Gothic"/>
          <w:b w:val="1"/>
          <w:bCs w:val="1"/>
          <w:noProof w:val="0"/>
          <w:color w:val="auto"/>
          <w:sz w:val="23"/>
          <w:szCs w:val="23"/>
          <w:lang w:val="es"/>
        </w:rPr>
        <w:t xml:space="preserve">Se identifica con algún enfoque de aprendizaje. </w:t>
      </w:r>
    </w:p>
    <w:p xmlns:wp14="http://schemas.microsoft.com/office/word/2010/wordml" w:rsidP="1DE73C4C" w14:paraId="1AAD78FA" wp14:textId="5D5C08B6">
      <w:pPr>
        <w:spacing w:line="257" w:lineRule="auto"/>
        <w:rPr>
          <w:rFonts w:ascii="Century Gothic" w:hAnsi="Century Gothic" w:eastAsia="Century Gothic" w:cs="Century Gothic"/>
          <w:b w:val="1"/>
          <w:bCs w:val="1"/>
          <w:noProof w:val="0"/>
          <w:color w:val="auto"/>
          <w:sz w:val="23"/>
          <w:szCs w:val="23"/>
          <w:lang w:val="es"/>
        </w:rPr>
      </w:pPr>
      <w:r w:rsidRPr="1DE73C4C" w:rsidR="22ECA47B">
        <w:rPr>
          <w:rFonts w:ascii="Century Gothic" w:hAnsi="Century Gothic" w:eastAsia="Century Gothic" w:cs="Century Gothic"/>
          <w:b w:val="1"/>
          <w:bCs w:val="1"/>
          <w:noProof w:val="0"/>
          <w:color w:val="auto"/>
          <w:sz w:val="23"/>
          <w:szCs w:val="23"/>
          <w:lang w:val="es"/>
        </w:rPr>
        <w:t>Explique por qué?</w:t>
      </w:r>
    </w:p>
    <w:p xmlns:wp14="http://schemas.microsoft.com/office/word/2010/wordml" w:rsidP="1DE73C4C" w14:paraId="624C5ECF" wp14:textId="325E1366">
      <w:pPr>
        <w:spacing w:line="257" w:lineRule="auto"/>
      </w:pPr>
      <w:r w:rsidRPr="1DE73C4C" w:rsidR="22ECA47B">
        <w:rPr>
          <w:rFonts w:ascii="Century Gothic" w:hAnsi="Century Gothic" w:eastAsia="Century Gothic" w:cs="Century Gothic"/>
          <w:noProof w:val="0"/>
          <w:sz w:val="23"/>
          <w:szCs w:val="23"/>
          <w:lang w:val="es"/>
        </w:rPr>
        <w:t>Sí, me identifico con el enfoque de aprendizaje profundo por la siguiente razón, en el artículo científico del “</w:t>
      </w:r>
      <w:r w:rsidRPr="1DE73C4C" w:rsidR="22ECA47B">
        <w:rPr>
          <w:rFonts w:ascii="Calibri" w:hAnsi="Calibri" w:eastAsia="Calibri" w:cs="Calibri"/>
          <w:noProof w:val="0"/>
          <w:sz w:val="22"/>
          <w:szCs w:val="22"/>
          <w:lang w:val="es"/>
        </w:rPr>
        <w:t>Estudio de los enfoques de aprendizaje en cuatro cohortes de estudiantes de Agronomía de la Universidad Central del Ecuador”</w:t>
      </w:r>
    </w:p>
    <w:p xmlns:wp14="http://schemas.microsoft.com/office/word/2010/wordml" w:rsidP="1DE73C4C" w14:paraId="354C65BE" wp14:textId="4673EF22">
      <w:pPr>
        <w:spacing w:line="257" w:lineRule="auto"/>
      </w:pPr>
      <w:r w:rsidRPr="1DE73C4C" w:rsidR="22ECA47B">
        <w:rPr>
          <w:rFonts w:ascii="Calibri" w:hAnsi="Calibri" w:eastAsia="Calibri" w:cs="Calibri"/>
          <w:noProof w:val="0"/>
          <w:sz w:val="22"/>
          <w:szCs w:val="22"/>
          <w:lang w:val="es"/>
        </w:rPr>
        <w:t>Se nombra que existen dos elementos importantes en el proceso de aprendizaje del alumno siendo estos la motivación y las estrategias, teniendo en cuenta que todos los seres humanos somos unos distintos a otros separando habilidades, potencial y estilos propios de aprender. (García, A. B. s.f.)</w:t>
      </w:r>
    </w:p>
    <w:p xmlns:wp14="http://schemas.microsoft.com/office/word/2010/wordml" w:rsidP="1DE73C4C" w14:paraId="0A0FE909" wp14:textId="1F865BC6">
      <w:pPr>
        <w:spacing w:line="257" w:lineRule="auto"/>
      </w:pPr>
      <w:r w:rsidRPr="1DE73C4C" w:rsidR="22ECA47B">
        <w:rPr>
          <w:rFonts w:ascii="Calibri" w:hAnsi="Calibri" w:eastAsia="Calibri" w:cs="Calibri"/>
          <w:noProof w:val="0"/>
          <w:sz w:val="22"/>
          <w:szCs w:val="22"/>
          <w:lang w:val="es"/>
        </w:rPr>
        <w:t>Sanfabian, at al., (2014, p.255) nos habla sobre los diferentes tipos de motivación y estrategias, basándome en el artículo puedo afirmar que me identifico con la motivación profunda o intrínseca que se refiere a que el estudiante tiene interés por aprender sobre las asignaturas, contar con la asistencia en todas sus clases, profundizar temas planteando preguntas. Siendo todo lo contrario la motivación extrínseca o superficial, es decir, el alumno realiza el mínimo esfuerzo por aprender e interactuar en clases.</w:t>
      </w:r>
    </w:p>
    <w:p xmlns:wp14="http://schemas.microsoft.com/office/word/2010/wordml" w:rsidP="1DE73C4C" w14:paraId="535764EE" wp14:textId="6DC1446D">
      <w:pPr>
        <w:spacing w:line="257" w:lineRule="auto"/>
      </w:pPr>
      <w:r w:rsidRPr="1DE73C4C" w:rsidR="22ECA47B">
        <w:rPr>
          <w:rFonts w:ascii="Calibri" w:hAnsi="Calibri" w:eastAsia="Calibri" w:cs="Calibri"/>
          <w:noProof w:val="0"/>
          <w:sz w:val="22"/>
          <w:szCs w:val="22"/>
          <w:lang w:val="es"/>
        </w:rPr>
        <w:t xml:space="preserve">Sanfabian, at al., (2014, p.255) Con respecto a las estrategias de aprendizaje me identifico con la estrategia profunda, es decir, el alumno indaga sobre los temas de clases buscando extraer sus conclusiones, utilizando su tiempo libre para investigar y estar seguro de entender los temas dados por el docente. También nos habla acerca de la estrategia superficial expresando que el alumno opta por un aprendizaje mecánico y memorístico en clases  </w:t>
      </w:r>
    </w:p>
    <w:p xmlns:wp14="http://schemas.microsoft.com/office/word/2010/wordml" w:rsidP="1DE73C4C" w14:paraId="7D3C334C" wp14:textId="405CC130">
      <w:pPr>
        <w:spacing w:line="257" w:lineRule="auto"/>
      </w:pPr>
      <w:r w:rsidRPr="1DE73C4C" w:rsidR="22ECA47B">
        <w:rPr>
          <w:rFonts w:ascii="Calibri" w:hAnsi="Calibri" w:eastAsia="Calibri" w:cs="Calibri"/>
          <w:noProof w:val="0"/>
          <w:sz w:val="22"/>
          <w:szCs w:val="22"/>
          <w:lang w:val="es"/>
        </w:rPr>
        <w:t xml:space="preserve">La motivación profunda va conjuntamente con la estrategia profunda, identificándome con ambas por mi destreza y desempeño en este semestre en la facultad de ciencia agrícolas, mi motivación es poder adquirir una gran cantidad de conocimiento para así poder obtener un título universitario y mejorar la calidad de vida con la carrera que estoy estudiando teniendo un plan a corto y largo plazo para poder cumplir este objetivo. mi estrategia para lograr esto es aplicarme en mis estudios indagando todos los temas relacionados con la carrera y temas de mi interés, profundizando las clases y teniendo al día la materia. </w:t>
      </w:r>
    </w:p>
    <w:p xmlns:wp14="http://schemas.microsoft.com/office/word/2010/wordml" w:rsidP="1DE73C4C" w14:paraId="6D2EA81B" wp14:textId="19F30627">
      <w:pPr>
        <w:spacing w:line="257" w:lineRule="auto"/>
      </w:pPr>
      <w:r w:rsidRPr="1DE73C4C" w:rsidR="22ECA47B">
        <w:rPr>
          <w:rFonts w:ascii="Calibri" w:hAnsi="Calibri" w:eastAsia="Calibri" w:cs="Calibri"/>
          <w:noProof w:val="0"/>
          <w:sz w:val="22"/>
          <w:szCs w:val="22"/>
          <w:lang w:val="es"/>
        </w:rPr>
        <w:t>Refiriéndonos a los enfoques de aprendizaje, Ortega, at al., (2015, p.215), afirma que el enfoque profundo parte de la experiencia que vive el ser humano logrando distinguir entre experiencias propias, ajenas y principalmente teóricas.</w:t>
      </w:r>
    </w:p>
    <w:p xmlns:wp14="http://schemas.microsoft.com/office/word/2010/wordml" w:rsidP="1DE73C4C" w14:paraId="30D62661" wp14:textId="1B0EB91E">
      <w:pPr>
        <w:spacing w:line="257" w:lineRule="auto"/>
      </w:pPr>
      <w:r w:rsidRPr="1DE73C4C" w:rsidR="22ECA47B">
        <w:rPr>
          <w:rFonts w:ascii="Calibri" w:hAnsi="Calibri" w:eastAsia="Calibri" w:cs="Calibri"/>
          <w:noProof w:val="0"/>
          <w:sz w:val="22"/>
          <w:szCs w:val="22"/>
          <w:lang w:val="es"/>
        </w:rPr>
        <w:t>De acuerdo a Hernández, at al., (2005, p.3) los enfoques afectan en los estudiantes al momento de entender las asignaturas y en su proceso académico, con enfoque profundo es más factible aprender de una manera consciente al contrario del enfoque superficial que tiene preferencia a memorizar la información para obtener buenas calificaciones.</w:t>
      </w:r>
    </w:p>
    <w:p xmlns:wp14="http://schemas.microsoft.com/office/word/2010/wordml" w:rsidP="1DE73C4C" w14:paraId="43C81AF8" wp14:textId="0625DB17">
      <w:pPr>
        <w:spacing w:line="257" w:lineRule="auto"/>
      </w:pPr>
      <w:r w:rsidRPr="1DE73C4C" w:rsidR="22ECA47B">
        <w:rPr>
          <w:rFonts w:ascii="Calibri" w:hAnsi="Calibri" w:eastAsia="Calibri" w:cs="Calibri"/>
          <w:noProof w:val="0"/>
          <w:sz w:val="22"/>
          <w:szCs w:val="22"/>
          <w:lang w:val="es"/>
        </w:rPr>
        <w:t>con estos conceptos me identifico con el enfoque profundo, basándome en mi experiencia como estudiante de segunda matricula en la carrera de ciencias agrícolas de la Universidad Central del Ecuador, siendo consciente que es mejor aprender y entender las asignaturas más por gusto que por obligación a solo memorizar información para obtener buenas calificaciones.</w:t>
      </w:r>
    </w:p>
    <w:p xmlns:wp14="http://schemas.microsoft.com/office/word/2010/wordml" w:rsidP="1DE73C4C" w14:paraId="257D776E" wp14:textId="6B8B35E7">
      <w:pPr>
        <w:spacing w:line="257" w:lineRule="auto"/>
      </w:pPr>
      <w:r w:rsidRPr="1DE73C4C" w:rsidR="22ECA47B">
        <w:rPr>
          <w:rFonts w:ascii="Calibri" w:hAnsi="Calibri" w:eastAsia="Calibri" w:cs="Calibri"/>
          <w:noProof w:val="0"/>
          <w:sz w:val="22"/>
          <w:szCs w:val="22"/>
          <w:lang w:val="es"/>
        </w:rPr>
        <w:t>Siguiendo estos parámetros se puede lograr un aprendizaje significativo asociando la información, conceptos nuevos con un concepto preexistente logrando así la creación de nuevas ideas y conocimientos claros.</w:t>
      </w:r>
    </w:p>
    <w:p xmlns:wp14="http://schemas.microsoft.com/office/word/2010/wordml" w:rsidP="1DE73C4C" w14:paraId="0A9CB348" wp14:textId="299071CF">
      <w:pPr>
        <w:pStyle w:val="Normal"/>
        <w:rPr>
          <w:rFonts w:ascii="Times New Roman" w:hAnsi="Times New Roman" w:eastAsia="Times New Roman" w:cs="Times New Roman"/>
          <w:noProof w:val="0"/>
          <w:sz w:val="17"/>
          <w:szCs w:val="17"/>
          <w:lang w:val="es"/>
        </w:rPr>
      </w:pPr>
      <w:r w:rsidRPr="1DE73C4C" w:rsidR="22ECA47B">
        <w:rPr>
          <w:rFonts w:ascii="Calibri" w:hAnsi="Calibri" w:eastAsia="Calibri" w:cs="Calibri" w:asciiTheme="minorAscii" w:hAnsiTheme="minorAscii" w:eastAsiaTheme="minorAscii" w:cstheme="minorAscii"/>
          <w:noProof w:val="0"/>
          <w:sz w:val="22"/>
          <w:szCs w:val="22"/>
          <w:lang w:val="es"/>
        </w:rPr>
        <w:t>Bibliografía</w:t>
      </w:r>
    </w:p>
    <w:sdt>
      <w:sdtPr>
        <w:id w:val="2146679045"/>
        <w:tag w:val="MENDELEY_CITATION_v3_eyJjaXRhdGlvbklEIjoiTUVOREVMRVlfQ0lUQVRJT05fNTY5YjdhMjktOGQ5My00NjY3LWFhMjMtNzE4NzMwZjE1NDM4IiwicHJvcGVydGllcyI6eyJub3RlSW5kZXgiOjB9LCJpc0VkaXRlZCI6ZmFsc2UsIm1hbnVhbE92ZXJyaWRlIjp7ImlzTWFudWFsbHlPdmVycmlkZGVuIjpmYWxzZSwiY2l0ZXByb2NUZXh0IjoiKFZpdmFzLVZpdmFzIEkgZXQgYWwuLCAyMDE3KSIsIm1hbnVhbE92ZXJyaWRlVGV4dCI6IiJ9LCJjaXRhdGlvbkl0ZW1zIjpbeyJpZCI6ImQyNmM1MDhkLWMzYjEtMzljYi04NTkwLTM2YTdhOWIzZGVjYSIsIml0ZW1EYXRhIjp7InR5cGUiOiJhcnRpY2xlLWpvdXJuYWwiLCJpZCI6ImQyNmM1MDhkLWMzYjEtMzljYi04NTkwLTM2YTdhOWIzZGVjYSIsInRpdGxlIjoiRXN0dWRpbyBkZSBsb3MgZW5mb3F1ZXMgZGUgYXByZW5kaXphamUgZW4gY3VhdHJvIGNvaG9ydGVzIGRlIGVzdHVkaWFudGVzIGRlIEFncm9ub23DrWEgZGUgbGEgVW5pdmVyc2lkYWQgQ2VudHJhbCBkZWwgRWN1YWRvciIsImF1dGhvciI6W3siZmFtaWx5IjoiVml2YXMtVml2YXMgSSIsImdpdmVuIjoiUmFtaXJvIEoiLCJwYXJzZS1uYW1lcyI6ZmFsc2UsImRyb3BwaW5nLXBhcnRpY2xlIjoiIiwibm9uLWRyb3BwaW5nLXBhcnRpY2xlIjoiIn0seyJmYW1pbHkiOiJWaXZhcy1WaXZhcyBJSSIsImdpdmVuIjoiV2FsdGVyIEgiLCJwYXJzZS1uYW1lcyI6ZmFsc2UsImRyb3BwaW5nLXBhcnRpY2xlIjoiIiwibm9uLWRyb3BwaW5nLXBhcnRpY2xlIjoiIn0seyJmYW1pbHkiOiJQYXptacOxby1NYXlvcmdhIElJSSIsImdpdmVuIjoiSmFpbWUgQSIsInBhcnNlLW5hbWVzIjpmYWxzZSwiZHJvcHBpbmctcGFydGljbGUiOiIiLCJub24tZHJvcHBpbmctcGFydGljbGUiOiIifSx7ImZhbWlseSI6Ik9yZMOzw7Flei1QaXphcnJvIElWIiwiZ2l2ZW4iOiJXaWxtYW4gSSIsInBhcnNlLW5hbWVzIjpmYWxzZSwiZHJvcHBpbmctcGFydGljbGUiOiIiLCJub24tZHJvcHBpbmctcGFydGljbGUiOiIifV0sIkRPSSI6IjEwLjIzODU3L2RjLnYzaTMuNDkxIiwiaXNzdWVkIjp7ImRhdGUtcGFydHMiOltbMjAxNyw3LDVdXX0sInBhZ2UiOiI1MzctNTU1Iiwidm9sdW1lIjoiMyIsImNvbnRhaW5lci10aXRsZS1zaG9ydCI6IiJ9LCJpc1RlbXBvcmFyeSI6ZmFsc2V9XX0="/>
        <w:placeholder>
          <w:docPart w:val="DefaultPlaceholder_1081868574"/>
        </w:placeholder>
      </w:sdtPr>
      <w:sdtContent>
        <w:p xmlns:wp14="http://schemas.microsoft.com/office/word/2010/wordml" w:rsidP="19FB090E" w14:paraId="4A20263F" wp14:textId="12AFAFCF">
          <w:pPr>
            <w:pStyle w:val="Normal"/>
            <w:rPr>
              <w:b w:val="0"/>
              <w:bCs w:val="0"/>
              <w:i w:val="0"/>
              <w:iCs w:val="0"/>
              <w:noProof w:val="0"/>
              <w:color w:val="000000" w:themeColor="text1" w:themeTint="FF" w:themeShade="FF"/>
              <w:u w:val="none"/>
              <w:vertAlign w:val="baseline"/>
              <w:lang w:val="es"/>
            </w:rPr>
          </w:pPr>
          <w:r w:rsidRPr="19FB090E" w:rsidR="19FB090E">
            <w:rPr>
              <w:b w:val="0"/>
              <w:bCs w:val="0"/>
              <w:i w:val="0"/>
              <w:iCs w:val="0"/>
              <w:color w:val="000000" w:themeColor="text1" w:themeTint="FF" w:themeShade="FF"/>
              <w:u w:val="none"/>
              <w:vertAlign w:val="baseline"/>
            </w:rPr>
            <w:t>(Vivas-Vivas I et al., 2017)</w:t>
          </w:r>
        </w:p>
      </w:sdtContent>
    </w:sdt>
    <w:p xmlns:wp14="http://schemas.microsoft.com/office/word/2010/wordml" w:rsidP="1DE73C4C" w14:paraId="67D6DE3C" wp14:textId="5BAFBF97">
      <w:pPr>
        <w:pStyle w:val="Normal"/>
        <w:rPr>
          <w:rFonts w:ascii="Calibri" w:hAnsi="Calibri" w:eastAsia="Calibri" w:cs="Calibri" w:asciiTheme="minorAscii" w:hAnsiTheme="minorAscii" w:eastAsiaTheme="minorAscii" w:cstheme="minorAscii"/>
          <w:noProof w:val="0"/>
          <w:sz w:val="22"/>
          <w:szCs w:val="22"/>
          <w:lang w:val="es"/>
        </w:rPr>
      </w:pPr>
    </w:p>
    <w:sdt>
      <w:sdtPr>
        <w:id w:val="1758554836"/>
        <w:tag w:val="MENDELEY_BIBLIOGRAPHY"/>
        <w:placeholder>
          <w:docPart w:val="DefaultPlaceholder_1081868574"/>
        </w:placeholder>
      </w:sdtPr>
      <w:sdtContent>
        <w:p xmlns:wp14="http://schemas.microsoft.com/office/word/2010/wordml" w:rsidP="19FB090E" w14:paraId="5F27BE9E" wp14:textId="1D241548">
          <w:pPr>
            <w:pStyle w:val="Normal"/>
            <w:ind w:left="480" w:hanging="480"/>
            <w:rPr>
              <w:rFonts w:ascii="Calibri" w:hAnsi="Calibri" w:eastAsia="Calibri" w:cs="Calibri" w:asciiTheme="minorAscii" w:hAnsiTheme="minorAscii" w:eastAsiaTheme="minorAscii" w:cstheme="minorAscii"/>
              <w:noProof w:val="0"/>
              <w:sz w:val="22"/>
              <w:szCs w:val="22"/>
              <w:lang w:val="es"/>
            </w:rPr>
          </w:pPr>
          <w:r w:rsidRPr="19FB090E" w:rsidR="07BC9266">
            <w:rPr>
              <w:rFonts w:ascii="Calibri" w:hAnsi="Calibri" w:eastAsia="Calibri" w:cs="Calibri"/>
              <w:noProof w:val="0"/>
              <w:sz w:val="22"/>
              <w:szCs w:val="22"/>
              <w:lang w:val="es-ES"/>
            </w:rPr>
            <w:t xml:space="preserve">Vivas-Vivas I, R. J., Vivas-Vivas II, W. H., Pazmiño-Mayorga III, J. A., &amp; Ordóñez-Pizarro IV, W. I. (2017). </w:t>
          </w:r>
          <w:r w:rsidRPr="19FB090E" w:rsidR="07BC9266">
            <w:rPr>
              <w:rFonts w:ascii="Calibri" w:hAnsi="Calibri" w:eastAsia="Calibri" w:cs="Calibri"/>
              <w:i w:val="1"/>
              <w:iCs w:val="1"/>
              <w:noProof w:val="0"/>
              <w:sz w:val="22"/>
              <w:szCs w:val="22"/>
              <w:lang w:val="es-ES"/>
            </w:rPr>
            <w:t>Estudio de los enfoques de aprendizaje en cuatro cohortes de estudiantes de Agronomía de la Universidad Central del Ecuador</w:t>
          </w:r>
          <w:r w:rsidRPr="19FB090E" w:rsidR="07BC9266">
            <w:rPr>
              <w:rFonts w:ascii="Calibri" w:hAnsi="Calibri" w:eastAsia="Calibri" w:cs="Calibri"/>
              <w:noProof w:val="0"/>
              <w:sz w:val="22"/>
              <w:szCs w:val="22"/>
              <w:lang w:val="es-ES"/>
            </w:rPr>
            <w:t xml:space="preserve">. </w:t>
          </w:r>
          <w:r w:rsidRPr="19FB090E" w:rsidR="07BC9266">
            <w:rPr>
              <w:rFonts w:ascii="Calibri" w:hAnsi="Calibri" w:eastAsia="Calibri" w:cs="Calibri"/>
              <w:i w:val="1"/>
              <w:iCs w:val="1"/>
              <w:noProof w:val="0"/>
              <w:sz w:val="22"/>
              <w:szCs w:val="22"/>
              <w:lang w:val="es-ES"/>
            </w:rPr>
            <w:t>3</w:t>
          </w:r>
          <w:r w:rsidRPr="19FB090E" w:rsidR="07BC9266">
            <w:rPr>
              <w:rFonts w:ascii="Calibri" w:hAnsi="Calibri" w:eastAsia="Calibri" w:cs="Calibri"/>
              <w:noProof w:val="0"/>
              <w:sz w:val="22"/>
              <w:szCs w:val="22"/>
              <w:lang w:val="es-ES"/>
            </w:rPr>
            <w:t xml:space="preserve">, 537–555. </w:t>
          </w:r>
          <w:hyperlink r:id="Ra739f21433ab4ff7">
            <w:r w:rsidRPr="19FB090E" w:rsidR="07BC9266">
              <w:rPr>
                <w:rStyle w:val="Hyperlink"/>
                <w:rFonts w:ascii="Calibri" w:hAnsi="Calibri" w:eastAsia="Calibri" w:cs="Calibri"/>
                <w:noProof w:val="0"/>
                <w:sz w:val="22"/>
                <w:szCs w:val="22"/>
                <w:lang w:val="es-ES"/>
              </w:rPr>
              <w:t>https://doi.org/10.23857/dc.v3i3.491</w:t>
            </w:r>
          </w:hyperlink>
        </w:p>
        <w:p xmlns:wp14="http://schemas.microsoft.com/office/word/2010/wordml" w:rsidP="19FB090E" w14:paraId="159EDB39" wp14:textId="4F97ECBF">
          <w:pPr>
            <w:pStyle w:val="Normal"/>
            <w:rPr>
              <w:rFonts w:ascii="Calibri" w:hAnsi="Calibri" w:eastAsia="Calibri" w:cs="Calibri"/>
              <w:noProof w:val="0"/>
              <w:sz w:val="22"/>
              <w:szCs w:val="22"/>
              <w:lang w:val="es-ES"/>
            </w:rPr>
          </w:pPr>
        </w:p>
      </w:sdtContent>
    </w:sdt>
    <w:p xmlns:wp14="http://schemas.microsoft.com/office/word/2010/wordml" w:rsidP="19FB090E" w14:paraId="4EE82B95" wp14:textId="0F05CB83">
      <w:pPr>
        <w:spacing w:line="257" w:lineRule="auto"/>
      </w:pPr>
      <w:r w:rsidRPr="19FB090E" w:rsidR="01DA2E24">
        <w:rPr>
          <w:rFonts w:ascii="Calibri" w:hAnsi="Calibri" w:eastAsia="Calibri" w:cs="Calibri"/>
          <w:noProof w:val="0"/>
          <w:sz w:val="22"/>
          <w:szCs w:val="22"/>
          <w:lang w:val="es"/>
        </w:rPr>
        <w:t>García, A. B. (s.f.). Estudio de los Enfoques de Aprendizaje en estudiantes de Magisterio y Psicopedagogía. Revista Electrónica de Psicopedagogía y Psicopedagogía., 109-126</w:t>
      </w:r>
    </w:p>
    <w:p xmlns:wp14="http://schemas.microsoft.com/office/word/2010/wordml" w:rsidP="19FB090E" w14:paraId="656D6A32" wp14:textId="14C62892">
      <w:pPr>
        <w:spacing w:line="257" w:lineRule="auto"/>
      </w:pPr>
      <w:r w:rsidRPr="19FB090E" w:rsidR="01DA2E24">
        <w:rPr>
          <w:rFonts w:ascii="Arial" w:hAnsi="Arial" w:eastAsia="Arial" w:cs="Arial"/>
          <w:i w:val="1"/>
          <w:iCs w:val="1"/>
          <w:noProof w:val="0"/>
          <w:color w:val="666666"/>
          <w:sz w:val="21"/>
          <w:szCs w:val="21"/>
          <w:lang w:val="es"/>
        </w:rPr>
        <w:t xml:space="preserve"> </w:t>
      </w:r>
    </w:p>
    <w:p xmlns:wp14="http://schemas.microsoft.com/office/word/2010/wordml" w:rsidP="19FB090E" w14:paraId="28C54935" wp14:textId="466F6908">
      <w:pPr>
        <w:spacing w:line="257" w:lineRule="auto"/>
      </w:pPr>
      <w:r w:rsidRPr="19FB090E" w:rsidR="01DA2E24">
        <w:rPr>
          <w:rFonts w:ascii="Calibri" w:hAnsi="Calibri" w:eastAsia="Calibri" w:cs="Calibri"/>
          <w:noProof w:val="0"/>
          <w:sz w:val="22"/>
          <w:szCs w:val="22"/>
          <w:lang w:val="es"/>
        </w:rPr>
        <w:t>Sanfabian, José; Belver José; Álvarez, Carmen. (2014). Nuevas Estrategias y Enfoques de Aprendizaje en el contexto del Espacio Europeo de la Educación Superior. Revista de Docencia Universitaria, 249-280</w:t>
      </w:r>
    </w:p>
    <w:p xmlns:wp14="http://schemas.microsoft.com/office/word/2010/wordml" w:rsidP="19FB090E" w14:paraId="62621DC9" wp14:textId="456CAC98">
      <w:pPr>
        <w:spacing w:line="257" w:lineRule="auto"/>
        <w:rPr>
          <w:rFonts w:ascii="Tahoma" w:hAnsi="Tahoma" w:eastAsia="Tahoma" w:cs="Tahoma"/>
          <w:b w:val="1"/>
          <w:bCs w:val="1"/>
          <w:noProof w:val="0"/>
          <w:color w:val="000000" w:themeColor="text1" w:themeTint="FF" w:themeShade="FF"/>
          <w:sz w:val="22"/>
          <w:szCs w:val="22"/>
          <w:lang w:val="es"/>
        </w:rPr>
      </w:pPr>
    </w:p>
    <w:p xmlns:wp14="http://schemas.microsoft.com/office/word/2010/wordml" w:rsidP="1DE73C4C" w14:paraId="178E59B2" wp14:textId="0039A128">
      <w:pPr>
        <w:pStyle w:val="Normal"/>
      </w:pPr>
      <w:r w:rsidRPr="19FB090E" w:rsidR="01DA2E24">
        <w:rPr>
          <w:rFonts w:ascii="Calibri" w:hAnsi="Calibri" w:eastAsia="Calibri" w:cs="Calibri"/>
          <w:noProof w:val="0"/>
          <w:sz w:val="22"/>
          <w:szCs w:val="22"/>
          <w:lang w:val="es"/>
        </w:rPr>
        <w:t>Ortega, Cecilia; Hernández, Antonio. (2015). Hacia el aprendizaje profundo, en la reflexiòn de la práctica docente. Ra Ximhai, 213-220</w:t>
      </w:r>
    </w:p>
    <w:p xmlns:wp14="http://schemas.microsoft.com/office/word/2010/wordml" w:rsidP="1DE73C4C" w14:paraId="42BB6614" wp14:textId="2A8B2D2E">
      <w:pPr>
        <w:pStyle w:val="Normal"/>
        <w:rPr>
          <w:rFonts w:ascii="Calibri" w:hAnsi="Calibri" w:eastAsia="Calibri" w:cs="Calibri" w:asciiTheme="minorAscii" w:hAnsiTheme="minorAscii" w:eastAsiaTheme="minorAscii" w:cstheme="minorAscii"/>
          <w:noProof w:val="0"/>
          <w:sz w:val="22"/>
          <w:szCs w:val="22"/>
          <w:lang w:val="es"/>
        </w:rPr>
      </w:pPr>
    </w:p>
    <w:p xmlns:wp14="http://schemas.microsoft.com/office/word/2010/wordml" w:rsidP="1DE73C4C" w14:paraId="5ACB6B85" wp14:textId="3AC331B0">
      <w:pPr>
        <w:pStyle w:val="Normal"/>
        <w:rPr>
          <w:rFonts w:ascii="Calibri" w:hAnsi="Calibri" w:eastAsia="Calibri" w:cs="Calibri" w:asciiTheme="minorAscii" w:hAnsiTheme="minorAscii" w:eastAsiaTheme="minorAscii" w:cstheme="minorAscii"/>
          <w:noProof w:val="0"/>
          <w:sz w:val="22"/>
          <w:szCs w:val="22"/>
          <w:lang w:val="es"/>
        </w:rPr>
      </w:pPr>
    </w:p>
    <w:p xmlns:wp14="http://schemas.microsoft.com/office/word/2010/wordml" w:rsidP="1DE73C4C" w14:paraId="5C1A07E2" wp14:textId="3960EA72">
      <w:pPr>
        <w:pStyle w:val="Normal"/>
      </w:pPr>
      <w:r w:rsidR="22ECA47B">
        <w:drawing>
          <wp:inline xmlns:wp14="http://schemas.microsoft.com/office/word/2010/wordprocessingDrawing" wp14:editId="6D6476D3" wp14:anchorId="1626C92F">
            <wp:extent cx="4572000" cy="2571750"/>
            <wp:effectExtent l="0" t="0" r="0" b="0"/>
            <wp:docPr id="1922249176" name="" title=""/>
            <wp:cNvGraphicFramePr>
              <a:graphicFrameLocks noChangeAspect="1"/>
            </wp:cNvGraphicFramePr>
            <a:graphic>
              <a:graphicData uri="http://schemas.openxmlformats.org/drawingml/2006/picture">
                <pic:pic>
                  <pic:nvPicPr>
                    <pic:cNvPr id="0" name=""/>
                    <pic:cNvPicPr/>
                  </pic:nvPicPr>
                  <pic:blipFill>
                    <a:blip r:embed="R0cf759c1de474ed2">
                      <a:extLst>
                        <a:ext xmlns:a="http://schemas.openxmlformats.org/drawingml/2006/main" uri="{28A0092B-C50C-407E-A947-70E740481C1C}">
                          <a14:useLocalDpi val="0"/>
                        </a:ext>
                      </a:extLst>
                    </a:blip>
                    <a:stretch>
                      <a:fillRect/>
                    </a:stretch>
                  </pic:blipFill>
                  <pic:spPr>
                    <a:xfrm>
                      <a:off x="0" y="0"/>
                      <a:ext cx="4572000" cy="2571750"/>
                    </a:xfrm>
                    <a:prstGeom prst="rect">
                      <a:avLst/>
                    </a:prstGeom>
                  </pic:spPr>
                </pic:pic>
              </a:graphicData>
            </a:graphic>
          </wp:inline>
        </w:drawing>
      </w:r>
      <w:r w:rsidRPr="1DE73C4C" w:rsidR="22ECA47B">
        <w:rPr>
          <w:rFonts w:ascii="Times New Roman" w:hAnsi="Times New Roman" w:eastAsia="Times New Roman" w:cs="Times New Roman"/>
          <w:noProof w:val="0"/>
          <w:sz w:val="17"/>
          <w:szCs w:val="17"/>
          <w:lang w:val="es"/>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1C04C5"/>
    <w:rsid w:val="01DA2E24"/>
    <w:rsid w:val="040D44A1"/>
    <w:rsid w:val="07BC9266"/>
    <w:rsid w:val="1043BA3B"/>
    <w:rsid w:val="137B5AFD"/>
    <w:rsid w:val="16B2FBBF"/>
    <w:rsid w:val="19FB090E"/>
    <w:rsid w:val="1DE73C4C"/>
    <w:rsid w:val="20366EDE"/>
    <w:rsid w:val="22ECA47B"/>
    <w:rsid w:val="253BA548"/>
    <w:rsid w:val="26361630"/>
    <w:rsid w:val="2985AB63"/>
    <w:rsid w:val="2B0F8436"/>
    <w:rsid w:val="2E12FBA3"/>
    <w:rsid w:val="37D5695E"/>
    <w:rsid w:val="472DE892"/>
    <w:rsid w:val="4CD15E7A"/>
    <w:rsid w:val="4D2CF6EB"/>
    <w:rsid w:val="5B03CF98"/>
    <w:rsid w:val="5B03CF98"/>
    <w:rsid w:val="5CB0494F"/>
    <w:rsid w:val="5E7FCFD1"/>
    <w:rsid w:val="5F485BAA"/>
    <w:rsid w:val="60298999"/>
    <w:rsid w:val="619189AC"/>
    <w:rsid w:val="64033BE8"/>
    <w:rsid w:val="65F6687E"/>
    <w:rsid w:val="711C04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04C5"/>
  <w15:chartTrackingRefBased/>
  <w15:docId w15:val="{64EE4035-C3AE-4656-8F9C-A607169406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0cf759c1de474ed2" /><Relationship Type="http://schemas.openxmlformats.org/officeDocument/2006/relationships/image" Target="/media/image3.png" Id="Rfb2736f8d7e14432" /><Relationship Type="http://schemas.openxmlformats.org/officeDocument/2006/relationships/hyperlink" Target="https://doi.org/10.23857/dc.v3i3.491" TargetMode="External" Id="Ra739f21433ab4ff7" /><Relationship Type="http://schemas.openxmlformats.org/officeDocument/2006/relationships/glossaryDocument" Target="glossary/document.xml" Id="R968665b8d2f940f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73b3143-3737-45b1-a750-42fe71a840f7}"/>
      </w:docPartPr>
      <w:docPartBody>
        <w:p w14:paraId="3959163A">
          <w:r>
            <w:rPr>
              <w:rStyle w:val="PlaceholderText"/>
            </w:rPr>
            <w:t>Haga clic aquí para escribir texto.</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&#65279;<?xml version="1.0" encoding="utf-8"?><Relationships xmlns="http://schemas.openxmlformats.org/package/2006/relationships"><Relationship Type="http://schemas.microsoft.com/office/2011/relationships/webextension" Target="/word/webextensions/webextension.xml" Id="Rc1ae56d7de6d49d5"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c1ae56d7de6d49d5"/>
  </wetp:taskpane>
</wetp:taskpanes>
</file>

<file path=word/webextensions/webextension.xml><?xml version="1.0" encoding="utf-8"?>
<we:webextension xmlns:we="http://schemas.microsoft.com/office/webextensions/webextension/2010/11" id="fb5ac66a-4ad7-4e3a-a3f9-6741d8fec2e9">
  <we:reference id="f78a3046-9e99-4300-aa2b-5814002b01a2" version="1.46.0.0" store="excatalog" storeType="excatalog"/>
  <we:alternateReferences/>
  <we:properties>
    <we:property name="MENDELEY_CITATIONS" value="[{&quot;citationID&quot;:&quot;MENDELEY_CITATION_569b7a29-8d93-4667-aa23-718730f15438&quot;,&quot;properties&quot;:{&quot;noteIndex&quot;:0},&quot;isEdited&quot;:false,&quot;manualOverride&quot;:{&quot;isManuallyOverridden&quot;:false,&quot;citeprocText&quot;:&quot;(Vivas-Vivas I et al., 2017)&quot;,&quot;manualOverrideText&quot;:&quot;&quot;},&quot;citationTag&quot;:&quot;MENDELEY_CITATION_v3_eyJjaXRhdGlvbklEIjoiTUVOREVMRVlfQ0lUQVRJT05fNTY5YjdhMjktOGQ5My00NjY3LWFhMjMtNzE4NzMwZjE1NDM4IiwicHJvcGVydGllcyI6eyJub3RlSW5kZXgiOjB9LCJpc0VkaXRlZCI6ZmFsc2UsIm1hbnVhbE92ZXJyaWRlIjp7ImlzTWFudWFsbHlPdmVycmlkZGVuIjpmYWxzZSwiY2l0ZXByb2NUZXh0IjoiKFZpdmFzLVZpdmFzIEkgZXQgYWwuLCAyMDE3KSIsIm1hbnVhbE92ZXJyaWRlVGV4dCI6IiJ9LCJjaXRhdGlvbkl0ZW1zIjpbeyJpZCI6ImQyNmM1MDhkLWMzYjEtMzljYi04NTkwLTM2YTdhOWIzZGVjYSIsIml0ZW1EYXRhIjp7InR5cGUiOiJhcnRpY2xlLWpvdXJuYWwiLCJpZCI6ImQyNmM1MDhkLWMzYjEtMzljYi04NTkwLTM2YTdhOWIzZGVjYSIsInRpdGxlIjoiRXN0dWRpbyBkZSBsb3MgZW5mb3F1ZXMgZGUgYXByZW5kaXphamUgZW4gY3VhdHJvIGNvaG9ydGVzIGRlIGVzdHVkaWFudGVzIGRlIEFncm9ub23DrWEgZGUgbGEgVW5pdmVyc2lkYWQgQ2VudHJhbCBkZWwgRWN1YWRvciIsImF1dGhvciI6W3siZmFtaWx5IjoiVml2YXMtVml2YXMgSSIsImdpdmVuIjoiUmFtaXJvIEoiLCJwYXJzZS1uYW1lcyI6ZmFsc2UsImRyb3BwaW5nLXBhcnRpY2xlIjoiIiwibm9uLWRyb3BwaW5nLXBhcnRpY2xlIjoiIn0seyJmYW1pbHkiOiJWaXZhcy1WaXZhcyBJSSIsImdpdmVuIjoiV2FsdGVyIEgiLCJwYXJzZS1uYW1lcyI6ZmFsc2UsImRyb3BwaW5nLXBhcnRpY2xlIjoiIiwibm9uLWRyb3BwaW5nLXBhcnRpY2xlIjoiIn0seyJmYW1pbHkiOiJQYXptacOxby1NYXlvcmdhIElJSSIsImdpdmVuIjoiSmFpbWUgQSIsInBhcnNlLW5hbWVzIjpmYWxzZSwiZHJvcHBpbmctcGFydGljbGUiOiIiLCJub24tZHJvcHBpbmctcGFydGljbGUiOiIifSx7ImZhbWlseSI6Ik9yZMOzw7Flei1QaXphcnJvIElWIiwiZ2l2ZW4iOiJXaWxtYW4gSSIsInBhcnNlLW5hbWVzIjpmYWxzZSwiZHJvcHBpbmctcGFydGljbGUiOiIiLCJub24tZHJvcHBpbmctcGFydGljbGUiOiIifV0sIkRPSSI6IjEwLjIzODU3L2RjLnYzaTMuNDkxIiwiaXNzdWVkIjp7ImRhdGUtcGFydHMiOltbMjAxNyw3LDVdXX0sInBhZ2UiOiI1MzctNTU1Iiwidm9sdW1lIjoiMyIsImNvbnRhaW5lci10aXRsZS1zaG9ydCI6IiJ9LCJpc1RlbXBvcmFyeSI6ZmFsc2V9XX0=&quot;,&quot;citationItems&quot;:[{&quot;id&quot;:&quot;d26c508d-c3b1-39cb-8590-36a7a9b3deca&quot;,&quot;itemData&quot;:{&quot;type&quot;:&quot;article-journal&quot;,&quot;id&quot;:&quot;d26c508d-c3b1-39cb-8590-36a7a9b3deca&quot;,&quot;title&quot;:&quot;Estudio de los enfoques de aprendizaje en cuatro cohortes de estudiantes de Agronomía de la Universidad Central del Ecuador&quot;,&quot;author&quot;:[{&quot;family&quot;:&quot;Vivas-Vivas I&quot;,&quot;given&quot;:&quot;Ramiro J&quot;,&quot;parse-names&quot;:false,&quot;dropping-particle&quot;:&quot;&quot;,&quot;non-dropping-particle&quot;:&quot;&quot;},{&quot;family&quot;:&quot;Vivas-Vivas II&quot;,&quot;given&quot;:&quot;Walter H&quot;,&quot;parse-names&quot;:false,&quot;dropping-particle&quot;:&quot;&quot;,&quot;non-dropping-particle&quot;:&quot;&quot;},{&quot;family&quot;:&quot;Pazmiño-Mayorga III&quot;,&quot;given&quot;:&quot;Jaime A&quot;,&quot;parse-names&quot;:false,&quot;dropping-particle&quot;:&quot;&quot;,&quot;non-dropping-particle&quot;:&quot;&quot;},{&quot;family&quot;:&quot;Ordóñez-Pizarro IV&quot;,&quot;given&quot;:&quot;Wilman I&quot;,&quot;parse-names&quot;:false,&quot;dropping-particle&quot;:&quot;&quot;,&quot;non-dropping-particle&quot;:&quot;&quot;}],&quot;DOI&quot;:&quot;10.23857/dc.v3i3.491&quot;,&quot;issued&quot;:{&quot;date-parts&quot;:[[2017,7,5]]},&quot;page&quot;:&quot;537-555&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2023-01-15T17:21:03.3160982Z</dcterms:created>
  <dcterms:modified xsi:type="dcterms:W3CDTF">2023-01-15T17:33:57.5069301Z</dcterms:modified>
  <dc:creator>DARLIN PATRICIA VASQUEZ SALAZAR</dc:creator>
  <lastModifiedBy>DARLIN PATRICIA VASQUEZ SALAZAR</lastModifiedBy>
</coreProperties>
</file>