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FD3" w:rsidRDefault="00C71FD3" w:rsidP="00C71FD3">
      <w:pPr>
        <w:pStyle w:val="BodyText"/>
        <w:jc w:val="center"/>
        <w:rPr>
          <w:rFonts w:ascii="Times" w:hAnsi="Times"/>
          <w:i/>
          <w:sz w:val="28"/>
        </w:rPr>
      </w:pPr>
      <w:r>
        <w:rPr>
          <w:rFonts w:ascii="Times" w:hAnsi="Times"/>
          <w:i/>
          <w:sz w:val="28"/>
        </w:rPr>
        <w:t>Qumran Pesharim</w:t>
      </w:r>
    </w:p>
    <w:p w:rsidR="00C71FD3" w:rsidRDefault="00C71FD3" w:rsidP="00C71FD3">
      <w:pPr>
        <w:pStyle w:val="BodyText"/>
        <w:jc w:val="center"/>
        <w:rPr>
          <w:rFonts w:ascii="Times" w:hAnsi="Times"/>
        </w:rPr>
      </w:pPr>
      <w:r>
        <w:rPr>
          <w:rFonts w:ascii="Times" w:hAnsi="Times"/>
        </w:rPr>
        <w:t>SHANI BERRIN</w:t>
      </w:r>
    </w:p>
    <w:p w:rsidR="00C71FD3" w:rsidRDefault="00C71FD3" w:rsidP="00C71FD3">
      <w:pPr>
        <w:pStyle w:val="BodyText"/>
        <w:ind w:left="-720"/>
        <w:jc w:val="left"/>
        <w:rPr>
          <w:rFonts w:ascii="Times" w:hAnsi="Times"/>
        </w:rPr>
      </w:pPr>
    </w:p>
    <w:p w:rsidR="00C71FD3" w:rsidRDefault="00C71FD3" w:rsidP="00C71FD3">
      <w:pPr>
        <w:pStyle w:val="BodyText"/>
        <w:jc w:val="left"/>
        <w:rPr>
          <w:rFonts w:ascii="Times" w:hAnsi="Times"/>
        </w:rPr>
      </w:pPr>
      <w:r>
        <w:rPr>
          <w:rFonts w:ascii="Times" w:hAnsi="Times"/>
        </w:rPr>
        <w:t xml:space="preserve">The purpose of this study is to answer the question “What is </w:t>
      </w:r>
      <w:r>
        <w:rPr>
          <w:rFonts w:ascii="Times" w:hAnsi="Times"/>
          <w:i/>
        </w:rPr>
        <w:t>pesher</w:t>
      </w:r>
      <w:r>
        <w:rPr>
          <w:rFonts w:ascii="Times" w:hAnsi="Times"/>
        </w:rPr>
        <w:t xml:space="preserve">?” There are undoubtedly those who would maintain that this question could be adequately addressed in a phrase or so: perhaps, “contemporizing exegesis,” or “Qumranic midrash,” or “eschatological commentary.”  These descriptions all have some validity, and each is effective, to some extent.  However, each employs technical terminology in a very loose fashion; the resultant blurring of attributes necessitates elucidation.  To this end, the analysis in this chapter will be based upon the following, more comprehensive, definition of </w:t>
      </w:r>
      <w:r>
        <w:rPr>
          <w:rFonts w:ascii="Times" w:hAnsi="Times"/>
          <w:i/>
        </w:rPr>
        <w:t>pesher</w:t>
      </w:r>
      <w:r>
        <w:rPr>
          <w:rFonts w:ascii="Times" w:hAnsi="Times"/>
        </w:rPr>
        <w:t>: “a form of biblical interpretation peculiar to Qumran, in which biblical poetic/prophetic texts are applied to post-biblical</w:t>
      </w:r>
      <w:r>
        <w:rPr>
          <w:rStyle w:val="FootnoteReference"/>
          <w:rFonts w:ascii="Times" w:hAnsi="Times"/>
        </w:rPr>
        <w:t xml:space="preserve"> </w:t>
      </w:r>
      <w:r>
        <w:rPr>
          <w:rFonts w:ascii="Times" w:hAnsi="Times"/>
        </w:rPr>
        <w:t>historical/eschatological settings through various literary techniques in order to substantiate a theological conviction pertaining to divine reward and punishment.”  This definition can be seen to encompass characteristics of form, content, method, and motive.</w:t>
      </w:r>
      <w:r>
        <w:rPr>
          <w:rStyle w:val="FootnoteReference"/>
          <w:rFonts w:ascii="Times" w:hAnsi="Times"/>
        </w:rPr>
        <w:footnoteReference w:id="1"/>
      </w:r>
      <w:r>
        <w:rPr>
          <w:rFonts w:ascii="Times" w:hAnsi="Times"/>
        </w:rPr>
        <w:t xml:space="preserve">  There has been much scholarly debate regarding each of these aspects of our definition.  Each of the four elements will </w:t>
      </w:r>
      <w:r>
        <w:rPr>
          <w:rFonts w:ascii="Times" w:hAnsi="Times"/>
        </w:rPr>
        <w:lastRenderedPageBreak/>
        <w:t xml:space="preserve">serve as a heading in this chapter, providing the structure for the discussion of the nature of </w:t>
      </w:r>
      <w:r>
        <w:rPr>
          <w:rFonts w:ascii="Times" w:hAnsi="Times"/>
          <w:i/>
        </w:rPr>
        <w:t>pesher</w:t>
      </w:r>
      <w:r>
        <w:rPr>
          <w:rFonts w:ascii="Times" w:hAnsi="Times"/>
        </w:rPr>
        <w:t>.</w:t>
      </w:r>
    </w:p>
    <w:p w:rsidR="00C71FD3" w:rsidRDefault="00C71FD3" w:rsidP="00C71FD3">
      <w:pPr>
        <w:pStyle w:val="BodyText"/>
        <w:jc w:val="left"/>
        <w:rPr>
          <w:rFonts w:ascii="Times" w:hAnsi="Times"/>
        </w:rPr>
      </w:pPr>
    </w:p>
    <w:p w:rsidR="00C71FD3" w:rsidRDefault="00C71FD3" w:rsidP="00C71FD3">
      <w:pPr>
        <w:pStyle w:val="BodyText"/>
        <w:jc w:val="center"/>
        <w:rPr>
          <w:rFonts w:ascii="Times" w:hAnsi="Times"/>
          <w:b/>
        </w:rPr>
      </w:pPr>
      <w:r>
        <w:rPr>
          <w:rFonts w:ascii="Times" w:hAnsi="Times"/>
          <w:b/>
        </w:rPr>
        <w:t>1. Form</w:t>
      </w:r>
    </w:p>
    <w:p w:rsidR="00C71FD3" w:rsidRDefault="00C71FD3" w:rsidP="00C71FD3">
      <w:pPr>
        <w:pStyle w:val="BodyText"/>
        <w:jc w:val="left"/>
        <w:rPr>
          <w:rFonts w:ascii="Times" w:hAnsi="Times"/>
        </w:rPr>
      </w:pPr>
      <w:r>
        <w:rPr>
          <w:rFonts w:ascii="Times" w:hAnsi="Times"/>
        </w:rPr>
        <w:t>Qumran “</w:t>
      </w:r>
      <w:r>
        <w:rPr>
          <w:rFonts w:ascii="Times" w:hAnsi="Times"/>
          <w:i/>
        </w:rPr>
        <w:t>pesher</w:t>
      </w:r>
      <w:r>
        <w:rPr>
          <w:rFonts w:ascii="Times" w:hAnsi="Times"/>
        </w:rPr>
        <w:t xml:space="preserve">” is most easily identified by the use of the word itself.  </w:t>
      </w:r>
      <w:r>
        <w:rPr>
          <w:rFonts w:ascii="Times" w:hAnsi="Times"/>
          <w:i/>
        </w:rPr>
        <w:t>Pesher</w:t>
      </w:r>
      <w:r>
        <w:rPr>
          <w:rFonts w:ascii="Times" w:hAnsi="Times"/>
        </w:rPr>
        <w:t xml:space="preserve"> consists of: a citation of a biblical text (the “lemma”); an introductory formula using the word “</w:t>
      </w:r>
      <w:r>
        <w:rPr>
          <w:rFonts w:ascii="Times" w:hAnsi="Times"/>
          <w:i/>
        </w:rPr>
        <w:t>pesher</w:t>
      </w:r>
      <w:r>
        <w:rPr>
          <w:rFonts w:ascii="Times" w:hAnsi="Times"/>
        </w:rPr>
        <w:t xml:space="preserve">” (such as “its </w:t>
      </w:r>
      <w:r>
        <w:rPr>
          <w:rFonts w:ascii="Times" w:hAnsi="Times"/>
          <w:i/>
        </w:rPr>
        <w:t>pesher</w:t>
      </w:r>
      <w:r>
        <w:rPr>
          <w:rFonts w:ascii="Times" w:hAnsi="Times"/>
        </w:rPr>
        <w:t xml:space="preserve"> concerns...”); and an application of the text to an historical, eschatologically significant reality, outside of its original context.  The term “</w:t>
      </w:r>
      <w:r>
        <w:rPr>
          <w:rFonts w:ascii="Times" w:hAnsi="Times"/>
          <w:i/>
        </w:rPr>
        <w:t>pesher</w:t>
      </w:r>
      <w:r>
        <w:rPr>
          <w:rFonts w:ascii="Times" w:hAnsi="Times"/>
        </w:rPr>
        <w:t xml:space="preserve">” is used to refer both to a particular instance of such </w:t>
      </w:r>
      <w:r>
        <w:rPr>
          <w:rFonts w:ascii="Times" w:hAnsi="Times"/>
          <w:i/>
        </w:rPr>
        <w:t>pesher</w:t>
      </w:r>
      <w:r>
        <w:rPr>
          <w:rFonts w:ascii="Times" w:hAnsi="Times"/>
        </w:rPr>
        <w:t xml:space="preserve"> interpretation, and to a composition that consists of the systematic application of </w:t>
      </w:r>
      <w:r>
        <w:rPr>
          <w:rFonts w:ascii="Times" w:hAnsi="Times"/>
          <w:i/>
        </w:rPr>
        <w:t>pesher</w:t>
      </w:r>
      <w:r>
        <w:rPr>
          <w:rFonts w:ascii="Times" w:hAnsi="Times"/>
        </w:rPr>
        <w:t xml:space="preserve"> interpretation to a particular work (termed “continuous” or “running” </w:t>
      </w:r>
      <w:r>
        <w:rPr>
          <w:rFonts w:ascii="Times" w:hAnsi="Times"/>
          <w:i/>
        </w:rPr>
        <w:t>pesher</w:t>
      </w:r>
      <w:r>
        <w:rPr>
          <w:rFonts w:ascii="Times" w:hAnsi="Times"/>
        </w:rPr>
        <w:t>, following J. Carmignac).</w:t>
      </w:r>
      <w:r>
        <w:rPr>
          <w:rStyle w:val="FootnoteReference"/>
          <w:rFonts w:ascii="Times" w:hAnsi="Times"/>
        </w:rPr>
        <w:footnoteReference w:id="2"/>
      </w:r>
      <w:r>
        <w:rPr>
          <w:rFonts w:ascii="Times" w:hAnsi="Times"/>
        </w:rPr>
        <w:t xml:space="preserve">  The fifteen works published as a group in Horgan’s </w:t>
      </w:r>
      <w:r>
        <w:rPr>
          <w:rFonts w:ascii="Times" w:hAnsi="Times"/>
          <w:i/>
        </w:rPr>
        <w:t>Pesharim</w:t>
      </w:r>
      <w:r>
        <w:rPr>
          <w:rFonts w:ascii="Times" w:hAnsi="Times"/>
        </w:rPr>
        <w:t xml:space="preserve"> are generally accepted as representing the existing corpus of such continuous </w:t>
      </w:r>
      <w:r>
        <w:rPr>
          <w:rFonts w:ascii="Times" w:hAnsi="Times"/>
          <w:i/>
        </w:rPr>
        <w:t>pesher</w:t>
      </w:r>
      <w:r>
        <w:rPr>
          <w:rFonts w:ascii="Times" w:hAnsi="Times"/>
        </w:rPr>
        <w:t xml:space="preserve"> compositions.</w:t>
      </w:r>
      <w:r>
        <w:rPr>
          <w:rStyle w:val="FootnoteReference"/>
          <w:rFonts w:ascii="Times" w:hAnsi="Times"/>
        </w:rPr>
        <w:footnoteReference w:id="3"/>
      </w:r>
      <w:r>
        <w:rPr>
          <w:rFonts w:ascii="Times" w:hAnsi="Times"/>
        </w:rPr>
        <w:t xml:space="preserve">  These continuous </w:t>
      </w:r>
      <w:r>
        <w:rPr>
          <w:rFonts w:ascii="Times" w:hAnsi="Times"/>
          <w:i/>
        </w:rPr>
        <w:t>pesharim</w:t>
      </w:r>
      <w:r>
        <w:rPr>
          <w:rFonts w:ascii="Times" w:hAnsi="Times"/>
        </w:rPr>
        <w:t xml:space="preserve"> are the focus of the discussion in this chapter, though some of my remarks are relevant to related phenomena, including “thematic” </w:t>
      </w:r>
      <w:r>
        <w:rPr>
          <w:rFonts w:ascii="Times" w:hAnsi="Times"/>
          <w:i/>
        </w:rPr>
        <w:t>pesher</w:t>
      </w:r>
      <w:r>
        <w:rPr>
          <w:rFonts w:ascii="Times" w:hAnsi="Times"/>
        </w:rPr>
        <w:t xml:space="preserve"> compositions</w:t>
      </w:r>
      <w:r>
        <w:rPr>
          <w:rStyle w:val="FootnoteReference"/>
          <w:rFonts w:ascii="Times" w:hAnsi="Times"/>
        </w:rPr>
        <w:footnoteReference w:id="4"/>
      </w:r>
      <w:r>
        <w:rPr>
          <w:rFonts w:ascii="Times" w:hAnsi="Times"/>
        </w:rPr>
        <w:t xml:space="preserve"> and isolated occurrences of “</w:t>
      </w:r>
      <w:r>
        <w:rPr>
          <w:rFonts w:ascii="Times" w:hAnsi="Times"/>
          <w:i/>
        </w:rPr>
        <w:t>pesher</w:t>
      </w:r>
      <w:r>
        <w:rPr>
          <w:rFonts w:ascii="Times" w:hAnsi="Times"/>
        </w:rPr>
        <w:t>” interpretation in non-</w:t>
      </w:r>
      <w:r>
        <w:rPr>
          <w:rFonts w:ascii="Times" w:hAnsi="Times"/>
          <w:i/>
        </w:rPr>
        <w:t xml:space="preserve"> pesher </w:t>
      </w:r>
      <w:r>
        <w:rPr>
          <w:rFonts w:ascii="Times" w:hAnsi="Times"/>
        </w:rPr>
        <w:t>compositions.</w:t>
      </w:r>
      <w:r>
        <w:rPr>
          <w:rStyle w:val="FootnoteReference"/>
          <w:rFonts w:ascii="Times" w:hAnsi="Times"/>
        </w:rPr>
        <w:footnoteReference w:id="5"/>
      </w:r>
    </w:p>
    <w:p w:rsidR="00C71FD3" w:rsidRDefault="00C71FD3" w:rsidP="00C71FD3">
      <w:pPr>
        <w:pStyle w:val="BodyText"/>
        <w:ind w:firstLine="432"/>
        <w:jc w:val="left"/>
        <w:rPr>
          <w:rFonts w:ascii="Times" w:hAnsi="Times"/>
        </w:rPr>
      </w:pPr>
      <w:r>
        <w:rPr>
          <w:rFonts w:ascii="Times" w:hAnsi="Times"/>
        </w:rPr>
        <w:lastRenderedPageBreak/>
        <w:t xml:space="preserve">The skeletal </w:t>
      </w:r>
      <w:r>
        <w:rPr>
          <w:rFonts w:ascii="Times" w:hAnsi="Times"/>
          <w:i/>
        </w:rPr>
        <w:t>pesher</w:t>
      </w:r>
      <w:r>
        <w:rPr>
          <w:rFonts w:ascii="Times" w:hAnsi="Times"/>
        </w:rPr>
        <w:t xml:space="preserve"> form may be expressed as: Biblical </w:t>
      </w:r>
      <w:r>
        <w:rPr>
          <w:rFonts w:ascii="Times" w:hAnsi="Times"/>
          <w:i/>
        </w:rPr>
        <w:t>lemma</w:t>
      </w:r>
      <w:r>
        <w:rPr>
          <w:rFonts w:ascii="Times" w:hAnsi="Times"/>
        </w:rPr>
        <w:t xml:space="preserve"> + </w:t>
      </w:r>
      <w:r>
        <w:rPr>
          <w:rFonts w:ascii="Times" w:hAnsi="Times"/>
          <w:i/>
        </w:rPr>
        <w:t>interpretation</w:t>
      </w:r>
      <w:r>
        <w:rPr>
          <w:rFonts w:ascii="Times" w:hAnsi="Times"/>
        </w:rPr>
        <w:t xml:space="preserve"> with </w:t>
      </w:r>
      <w:r>
        <w:rPr>
          <w:rFonts w:ascii="Times" w:hAnsi="Times"/>
          <w:i/>
        </w:rPr>
        <w:t>formula</w:t>
      </w:r>
      <w:r>
        <w:rPr>
          <w:rFonts w:ascii="Times" w:hAnsi="Times"/>
        </w:rPr>
        <w:t>.</w:t>
      </w:r>
      <w:r>
        <w:rPr>
          <w:rStyle w:val="FootnoteReference"/>
          <w:rFonts w:ascii="Times" w:hAnsi="Times"/>
        </w:rPr>
        <w:footnoteReference w:id="6"/>
      </w:r>
      <w:r>
        <w:rPr>
          <w:rFonts w:ascii="Times" w:hAnsi="Times"/>
        </w:rPr>
        <w:t xml:space="preserve">  Continuous </w:t>
      </w:r>
      <w:r>
        <w:rPr>
          <w:rFonts w:ascii="Times" w:hAnsi="Times"/>
          <w:i/>
        </w:rPr>
        <w:t>pesharim</w:t>
      </w:r>
      <w:r>
        <w:rPr>
          <w:rFonts w:ascii="Times" w:hAnsi="Times"/>
        </w:rPr>
        <w:t xml:space="preserve"> are comprised of a series of these “units” of citation/interpretation.  These </w:t>
      </w:r>
      <w:r>
        <w:rPr>
          <w:rFonts w:ascii="Times" w:hAnsi="Times"/>
          <w:i/>
        </w:rPr>
        <w:t>pesharim</w:t>
      </w:r>
      <w:r>
        <w:rPr>
          <w:rFonts w:ascii="Times" w:hAnsi="Times"/>
        </w:rPr>
        <w:t xml:space="preserve"> are the earliest extant compositions to feature such systematic citation and interpretation of biblical text.  The direct citation of the biblical </w:t>
      </w:r>
      <w:r>
        <w:rPr>
          <w:rFonts w:ascii="Times" w:hAnsi="Times"/>
          <w:i/>
        </w:rPr>
        <w:t>lemma</w:t>
      </w:r>
      <w:r>
        <w:rPr>
          <w:rFonts w:ascii="Times" w:hAnsi="Times"/>
        </w:rPr>
        <w:t xml:space="preserve"> characterizes </w:t>
      </w:r>
      <w:r>
        <w:rPr>
          <w:rFonts w:ascii="Times" w:hAnsi="Times"/>
          <w:i/>
        </w:rPr>
        <w:t>pesher</w:t>
      </w:r>
      <w:r>
        <w:rPr>
          <w:rFonts w:ascii="Times" w:hAnsi="Times"/>
        </w:rPr>
        <w:t xml:space="preserve"> as an example of </w:t>
      </w:r>
      <w:r>
        <w:rPr>
          <w:rFonts w:ascii="Times" w:hAnsi="Times"/>
          <w:i/>
        </w:rPr>
        <w:t>explicit</w:t>
      </w:r>
      <w:r>
        <w:rPr>
          <w:rFonts w:ascii="Times" w:hAnsi="Times"/>
        </w:rPr>
        <w:t xml:space="preserve"> biblical interpretation.</w:t>
      </w:r>
      <w:r>
        <w:rPr>
          <w:rStyle w:val="FootnoteReference"/>
          <w:rFonts w:ascii="Times" w:hAnsi="Times"/>
        </w:rPr>
        <w:footnoteReference w:id="7"/>
      </w:r>
      <w:r>
        <w:rPr>
          <w:rFonts w:ascii="Times" w:hAnsi="Times"/>
        </w:rPr>
        <w:t xml:space="preserve">  Another distinctive </w:t>
      </w:r>
      <w:r>
        <w:rPr>
          <w:rFonts w:ascii="Times" w:hAnsi="Times"/>
        </w:rPr>
        <w:lastRenderedPageBreak/>
        <w:t xml:space="preserve">quality of the </w:t>
      </w:r>
      <w:r>
        <w:rPr>
          <w:rFonts w:ascii="Times" w:hAnsi="Times"/>
          <w:i/>
        </w:rPr>
        <w:t xml:space="preserve">pesher </w:t>
      </w:r>
      <w:r>
        <w:rPr>
          <w:rFonts w:ascii="Times" w:hAnsi="Times"/>
        </w:rPr>
        <w:t xml:space="preserve">interpretation, evidenced in the introductory formula, is that </w:t>
      </w:r>
      <w:r>
        <w:rPr>
          <w:rFonts w:ascii="Times" w:hAnsi="Times"/>
          <w:i/>
        </w:rPr>
        <w:t>pesher</w:t>
      </w:r>
      <w:r>
        <w:rPr>
          <w:rFonts w:ascii="Times" w:hAnsi="Times"/>
        </w:rPr>
        <w:t xml:space="preserve"> </w:t>
      </w:r>
      <w:r>
        <w:rPr>
          <w:rFonts w:ascii="Times" w:hAnsi="Times"/>
          <w:i/>
        </w:rPr>
        <w:t>identifies</w:t>
      </w:r>
      <w:r>
        <w:rPr>
          <w:rFonts w:ascii="Times" w:hAnsi="Times"/>
        </w:rPr>
        <w:t xml:space="preserve"> elements of its base-text.  This observation is congruent with the etymological relationship between the roots </w:t>
      </w:r>
      <w:r>
        <w:rPr>
          <w:rFonts w:ascii="אילת" w:hAnsi="אילת" w:cs="אילת" w:hint="cs"/>
          <w:rtl/>
        </w:rPr>
        <w:t>פשר</w:t>
      </w:r>
      <w:r>
        <w:rPr>
          <w:rFonts w:ascii="Times" w:hAnsi="Times"/>
        </w:rPr>
        <w:t xml:space="preserve"> and </w:t>
      </w:r>
      <w:r>
        <w:rPr>
          <w:rFonts w:ascii="אילת" w:hAnsi="אילת" w:cs="אילת" w:hint="cs"/>
          <w:rtl/>
        </w:rPr>
        <w:t>פתר</w:t>
      </w:r>
      <w:r>
        <w:rPr>
          <w:rFonts w:ascii="Times" w:hAnsi="Times"/>
        </w:rPr>
        <w:t>.</w:t>
      </w:r>
      <w:r>
        <w:rPr>
          <w:rStyle w:val="FootnoteReference"/>
          <w:rFonts w:ascii="Times" w:hAnsi="Times"/>
        </w:rPr>
        <w:footnoteReference w:id="8"/>
      </w:r>
      <w:r>
        <w:rPr>
          <w:rFonts w:ascii="Times" w:hAnsi="Times"/>
        </w:rPr>
        <w:t xml:space="preserve">  Rabbinic usage of </w:t>
      </w:r>
      <w:r>
        <w:rPr>
          <w:rFonts w:ascii="אילת" w:hAnsi="אילת" w:cs="אילת" w:hint="cs"/>
          <w:rtl/>
        </w:rPr>
        <w:t>פתר</w:t>
      </w:r>
      <w:r>
        <w:rPr>
          <w:rFonts w:ascii="Times" w:hAnsi="Times"/>
        </w:rPr>
        <w:t xml:space="preserve"> has often been understood in a broad sense as “explaining” or “interpreting” difficult verses or </w:t>
      </w:r>
      <w:r>
        <w:rPr>
          <w:rFonts w:ascii="Times" w:hAnsi="Times"/>
          <w:i/>
        </w:rPr>
        <w:t>halakhic</w:t>
      </w:r>
      <w:r>
        <w:rPr>
          <w:rFonts w:ascii="Times" w:hAnsi="Times"/>
        </w:rPr>
        <w:t xml:space="preserve"> traditions.  Actually, </w:t>
      </w:r>
      <w:r>
        <w:rPr>
          <w:rFonts w:ascii="אילת" w:hAnsi="אילת" w:cs="אילת" w:hint="cs"/>
          <w:rtl/>
        </w:rPr>
        <w:t>פתר</w:t>
      </w:r>
      <w:r>
        <w:rPr>
          <w:rFonts w:ascii="Times" w:hAnsi="Times"/>
        </w:rPr>
        <w:t xml:space="preserve"> is used primarily in the more technical and specific sense of “apply” or “refer.”  In the Palestinian Talmud, Rabbis limit the scope of a problematic </w:t>
      </w:r>
      <w:r>
        <w:rPr>
          <w:rFonts w:ascii="Times" w:hAnsi="Times"/>
          <w:i/>
        </w:rPr>
        <w:t>halakhic</w:t>
      </w:r>
      <w:r>
        <w:rPr>
          <w:rFonts w:ascii="Times" w:hAnsi="Times"/>
        </w:rPr>
        <w:t xml:space="preserve"> statement by applying it to a specific instance: “y</w:t>
      </w:r>
      <w:r>
        <w:rPr>
          <w:rFonts w:ascii="אילת" w:hAnsi="אילת" w:cs="אילת"/>
          <w:rtl/>
        </w:rPr>
        <w:t>ב</w:t>
      </w:r>
      <w:r>
        <w:rPr>
          <w:rFonts w:ascii="Times" w:hAnsi="Times"/>
        </w:rPr>
        <w:t xml:space="preserve"> x</w:t>
      </w:r>
      <w:r>
        <w:rPr>
          <w:rFonts w:ascii="אילת" w:hAnsi="אילת" w:cs="אילת" w:hint="cs"/>
          <w:rtl/>
        </w:rPr>
        <w:t>פתר</w:t>
      </w:r>
      <w:r>
        <w:rPr>
          <w:rFonts w:ascii="Times" w:hAnsi="Times"/>
        </w:rPr>
        <w:t>”.</w:t>
      </w:r>
      <w:r>
        <w:rPr>
          <w:rStyle w:val="FootnoteReference"/>
          <w:rFonts w:ascii="Times" w:hAnsi="Times"/>
        </w:rPr>
        <w:footnoteReference w:id="9"/>
      </w:r>
      <w:r>
        <w:rPr>
          <w:rFonts w:ascii="Times" w:hAnsi="Times"/>
        </w:rPr>
        <w:t xml:space="preserve">  In </w:t>
      </w:r>
      <w:r>
        <w:rPr>
          <w:rFonts w:ascii="Times" w:hAnsi="Times"/>
          <w:i/>
        </w:rPr>
        <w:t>aggadic</w:t>
      </w:r>
      <w:r>
        <w:rPr>
          <w:rFonts w:ascii="Times" w:hAnsi="Times"/>
        </w:rPr>
        <w:t xml:space="preserve"> midrash, the same term is used to apply a </w:t>
      </w:r>
      <w:r>
        <w:rPr>
          <w:rFonts w:ascii="Times" w:hAnsi="Times"/>
          <w:i/>
        </w:rPr>
        <w:t>scriptural</w:t>
      </w:r>
      <w:r>
        <w:rPr>
          <w:rFonts w:ascii="Times" w:hAnsi="Times"/>
        </w:rPr>
        <w:t xml:space="preserve"> citation to a particular matter, “…</w:t>
      </w:r>
      <w:r>
        <w:rPr>
          <w:rFonts w:ascii="אילת" w:hAnsi="אילת" w:cs="אילת" w:hint="cs"/>
          <w:rtl/>
        </w:rPr>
        <w:t>פתר קריא ב</w:t>
      </w:r>
      <w:r>
        <w:rPr>
          <w:rFonts w:ascii="Times" w:hAnsi="Times"/>
        </w:rPr>
        <w:t>”.  P. Bloch described this “</w:t>
      </w:r>
      <w:r>
        <w:rPr>
          <w:rFonts w:ascii="Times" w:hAnsi="Times"/>
          <w:i/>
        </w:rPr>
        <w:t>petira</w:t>
      </w:r>
      <w:r>
        <w:rPr>
          <w:rFonts w:ascii="Times" w:hAnsi="Times"/>
        </w:rPr>
        <w:t>” form, such that the formula introduces a “homiletic interpretation... individualizing, graphically defining, or illustrating.”  It attributes a “concrete instance” to the “abstract idea of the text.”  Bloch rendered the formula as, “he specifically referred the verse to...”.</w:t>
      </w:r>
      <w:r>
        <w:rPr>
          <w:rStyle w:val="FootnoteReference"/>
          <w:rFonts w:ascii="Times" w:hAnsi="Times"/>
        </w:rPr>
        <w:footnoteReference w:id="10"/>
      </w:r>
      <w:r>
        <w:rPr>
          <w:rFonts w:ascii="Times" w:hAnsi="Times"/>
        </w:rPr>
        <w:t xml:space="preserve">  Qumran </w:t>
      </w:r>
      <w:r>
        <w:rPr>
          <w:rFonts w:ascii="Times" w:hAnsi="Times"/>
          <w:i/>
        </w:rPr>
        <w:t>pesher</w:t>
      </w:r>
      <w:r>
        <w:rPr>
          <w:rFonts w:ascii="Times" w:hAnsi="Times"/>
        </w:rPr>
        <w:t xml:space="preserve">, like the similarly named rabbinic </w:t>
      </w:r>
      <w:r>
        <w:rPr>
          <w:rFonts w:ascii="Times" w:hAnsi="Times"/>
          <w:i/>
        </w:rPr>
        <w:t>petira</w:t>
      </w:r>
      <w:r>
        <w:rPr>
          <w:rFonts w:ascii="Times" w:hAnsi="Times"/>
        </w:rPr>
        <w:t>, provides an identification.</w:t>
      </w:r>
    </w:p>
    <w:p w:rsidR="00C71FD3" w:rsidRDefault="00C71FD3" w:rsidP="00C71FD3">
      <w:pPr>
        <w:pStyle w:val="BodyText"/>
        <w:ind w:firstLine="432"/>
        <w:jc w:val="left"/>
        <w:rPr>
          <w:rFonts w:ascii="Times" w:hAnsi="Times"/>
        </w:rPr>
      </w:pPr>
      <w:r>
        <w:t xml:space="preserve">The characteristic form of </w:t>
      </w:r>
      <w:r>
        <w:rPr>
          <w:i/>
        </w:rPr>
        <w:t>pesher</w:t>
      </w:r>
      <w:r>
        <w:t xml:space="preserve"> may thus be said to comprise the following basic structure: “biblical citation + </w:t>
      </w:r>
      <w:r>
        <w:rPr>
          <w:i/>
        </w:rPr>
        <w:t xml:space="preserve">identifying </w:t>
      </w:r>
      <w:r>
        <w:t xml:space="preserve">interpretation with </w:t>
      </w:r>
      <w:r>
        <w:rPr>
          <w:i/>
        </w:rPr>
        <w:t>identifying</w:t>
      </w:r>
      <w:r>
        <w:t xml:space="preserve"> formula, typically including (or assuming) a form of the word ‘</w:t>
      </w:r>
      <w:r>
        <w:rPr>
          <w:i/>
        </w:rPr>
        <w:t>pesher</w:t>
      </w:r>
      <w:r>
        <w:t>.’”</w:t>
      </w:r>
    </w:p>
    <w:p w:rsidR="00C71FD3" w:rsidRDefault="00C71FD3" w:rsidP="00C71FD3">
      <w:pPr>
        <w:pStyle w:val="BodyText"/>
        <w:ind w:firstLine="720"/>
        <w:jc w:val="left"/>
        <w:rPr>
          <w:rFonts w:ascii="Times" w:hAnsi="Times"/>
        </w:rPr>
      </w:pPr>
    </w:p>
    <w:p w:rsidR="00C71FD3" w:rsidRDefault="00C71FD3" w:rsidP="00C71FD3">
      <w:pPr>
        <w:pStyle w:val="BodyText"/>
        <w:jc w:val="center"/>
        <w:rPr>
          <w:b/>
        </w:rPr>
      </w:pPr>
      <w:r>
        <w:rPr>
          <w:b/>
        </w:rPr>
        <w:t>2. Content</w:t>
      </w:r>
    </w:p>
    <w:p w:rsidR="00C71FD3" w:rsidRDefault="00C71FD3" w:rsidP="00C71FD3">
      <w:pPr>
        <w:pStyle w:val="ListContinue"/>
        <w:spacing w:line="480" w:lineRule="auto"/>
        <w:ind w:left="0"/>
        <w:rPr>
          <w:rFonts w:ascii="Times" w:hAnsi="Times"/>
          <w:sz w:val="24"/>
        </w:rPr>
      </w:pPr>
      <w:r>
        <w:rPr>
          <w:rFonts w:ascii="Times" w:hAnsi="Times"/>
          <w:sz w:val="24"/>
        </w:rPr>
        <w:t xml:space="preserve">Uniformity in the </w:t>
      </w:r>
      <w:r>
        <w:rPr>
          <w:rFonts w:ascii="Times" w:hAnsi="Times"/>
          <w:i/>
          <w:sz w:val="24"/>
        </w:rPr>
        <w:t>content</w:t>
      </w:r>
      <w:r>
        <w:rPr>
          <w:rFonts w:ascii="Times" w:hAnsi="Times"/>
          <w:sz w:val="24"/>
        </w:rPr>
        <w:t xml:space="preserve"> of </w:t>
      </w:r>
      <w:r>
        <w:rPr>
          <w:rFonts w:ascii="Times" w:hAnsi="Times"/>
          <w:i/>
          <w:sz w:val="24"/>
        </w:rPr>
        <w:t>pesharim</w:t>
      </w:r>
      <w:r>
        <w:rPr>
          <w:rFonts w:ascii="Times" w:hAnsi="Times"/>
          <w:sz w:val="24"/>
        </w:rPr>
        <w:t xml:space="preserve"> may be sought in either the (prophetic) biblical </w:t>
      </w:r>
      <w:r>
        <w:rPr>
          <w:rFonts w:ascii="Times" w:hAnsi="Times"/>
          <w:i/>
          <w:sz w:val="24"/>
        </w:rPr>
        <w:t>base-text</w:t>
      </w:r>
      <w:r>
        <w:rPr>
          <w:rFonts w:ascii="Times" w:hAnsi="Times"/>
          <w:sz w:val="24"/>
        </w:rPr>
        <w:t xml:space="preserve"> or in the (historical/eschatological) </w:t>
      </w:r>
      <w:r>
        <w:rPr>
          <w:rFonts w:ascii="Times" w:hAnsi="Times"/>
          <w:i/>
          <w:sz w:val="24"/>
        </w:rPr>
        <w:t>pesher</w:t>
      </w:r>
      <w:r>
        <w:rPr>
          <w:rFonts w:ascii="Times" w:hAnsi="Times"/>
          <w:sz w:val="24"/>
        </w:rPr>
        <w:t xml:space="preserve"> </w:t>
      </w:r>
      <w:r>
        <w:rPr>
          <w:rFonts w:ascii="Times" w:hAnsi="Times"/>
          <w:i/>
          <w:sz w:val="24"/>
        </w:rPr>
        <w:t>application</w:t>
      </w:r>
      <w:r>
        <w:rPr>
          <w:rFonts w:ascii="Times" w:hAnsi="Times"/>
          <w:sz w:val="24"/>
        </w:rPr>
        <w:t xml:space="preserve">.  We will begin with the subject matter of the application, as it is more easily discernible.  We will then proceed to examine qualities that are shared by the biblical texts used in extant </w:t>
      </w:r>
      <w:r>
        <w:rPr>
          <w:rFonts w:ascii="Times" w:hAnsi="Times"/>
          <w:i/>
          <w:sz w:val="24"/>
        </w:rPr>
        <w:t>pesharim</w:t>
      </w:r>
      <w:r>
        <w:rPr>
          <w:rFonts w:ascii="Times" w:hAnsi="Times"/>
          <w:sz w:val="24"/>
        </w:rPr>
        <w:t>.</w:t>
      </w:r>
    </w:p>
    <w:p w:rsidR="00C71FD3" w:rsidRDefault="00C71FD3" w:rsidP="00C71FD3">
      <w:pPr>
        <w:tabs>
          <w:tab w:val="left" w:pos="-1440"/>
        </w:tabs>
        <w:spacing w:line="480" w:lineRule="auto"/>
        <w:rPr>
          <w:b/>
        </w:rPr>
      </w:pPr>
      <w:r>
        <w:rPr>
          <w:b/>
        </w:rPr>
        <w:t>2.1 The historical/eschatological application</w:t>
      </w:r>
    </w:p>
    <w:p w:rsidR="00C71FD3" w:rsidRDefault="00C71FD3" w:rsidP="00C71FD3">
      <w:pPr>
        <w:spacing w:line="480" w:lineRule="auto"/>
        <w:rPr>
          <w:vertAlign w:val="superscript"/>
        </w:rPr>
      </w:pPr>
      <w:r>
        <w:t xml:space="preserve">An essential feature of </w:t>
      </w:r>
      <w:r>
        <w:rPr>
          <w:i/>
        </w:rPr>
        <w:t>pesher</w:t>
      </w:r>
      <w:r>
        <w:t xml:space="preserve"> is the application of the base-text to historical reality.</w:t>
      </w:r>
      <w:r>
        <w:rPr>
          <w:rStyle w:val="FootnoteReference"/>
        </w:rPr>
        <w:footnoteReference w:id="11"/>
      </w:r>
      <w:r>
        <w:t xml:space="preserve">  There is a logical relationship between an “identifying” form and historical content.  We may look once again at the rabbinic </w:t>
      </w:r>
      <w:r>
        <w:rPr>
          <w:i/>
        </w:rPr>
        <w:t>petira</w:t>
      </w:r>
      <w:r>
        <w:t xml:space="preserve">.  A formal attribute of the </w:t>
      </w:r>
      <w:r>
        <w:rPr>
          <w:i/>
        </w:rPr>
        <w:t xml:space="preserve">petira </w:t>
      </w:r>
      <w:r>
        <w:t xml:space="preserve">is its identification of an allusive biblical text.  At Qumran, </w:t>
      </w:r>
      <w:r>
        <w:rPr>
          <w:i/>
        </w:rPr>
        <w:t>pesher</w:t>
      </w:r>
      <w:r>
        <w:t xml:space="preserve"> contemporizes biblical verses, identifying their referents in history.  In an </w:t>
      </w:r>
      <w:r>
        <w:rPr>
          <w:i/>
        </w:rPr>
        <w:t>aggadic</w:t>
      </w:r>
      <w:r>
        <w:t xml:space="preserve"> </w:t>
      </w:r>
      <w:r>
        <w:rPr>
          <w:i/>
        </w:rPr>
        <w:t>petira</w:t>
      </w:r>
      <w:r>
        <w:t xml:space="preserve">, the proposed referent may be a tangible religious object, or even a concept or </w:t>
      </w:r>
      <w:r>
        <w:rPr>
          <w:i/>
        </w:rPr>
        <w:t>halakhic</w:t>
      </w:r>
      <w:r>
        <w:t xml:space="preserve"> category, but it is often an </w:t>
      </w:r>
      <w:r>
        <w:rPr>
          <w:i/>
        </w:rPr>
        <w:t>historical individual or event</w:t>
      </w:r>
      <w:r>
        <w:t>.</w:t>
      </w:r>
      <w:r>
        <w:rPr>
          <w:rStyle w:val="FootnoteReference"/>
        </w:rPr>
        <w:footnoteReference w:id="12"/>
      </w:r>
      <w:r>
        <w:t xml:space="preserve">  P. Mandel does </w:t>
      </w:r>
      <w:r>
        <w:lastRenderedPageBreak/>
        <w:t xml:space="preserve">not discern a historical focus in the </w:t>
      </w:r>
      <w:r>
        <w:rPr>
          <w:i/>
        </w:rPr>
        <w:t>petira</w:t>
      </w:r>
      <w:r>
        <w:t xml:space="preserve"> itself, but does point to this sort of specificity in the case of the related phrase</w:t>
      </w:r>
      <w:r>
        <w:rPr>
          <w:rFonts w:hint="cs"/>
        </w:rPr>
        <w:t xml:space="preserve"> </w:t>
      </w:r>
      <w:r>
        <w:rPr>
          <w:rFonts w:ascii="אילת" w:hAnsi="אילת" w:cs="אילת" w:hint="cs"/>
          <w:rtl/>
        </w:rPr>
        <w:t>עליו</w:t>
      </w:r>
      <w:r>
        <w:rPr>
          <w:rFonts w:ascii="אילת" w:hAnsi="אילת" w:hint="cs"/>
        </w:rPr>
        <w:t xml:space="preserve"> </w:t>
      </w:r>
      <w:r>
        <w:rPr>
          <w:rFonts w:ascii="אילת" w:hAnsi="אילת" w:cs="אילת" w:hint="cs"/>
          <w:rtl/>
        </w:rPr>
        <w:t>מפרש</w:t>
      </w:r>
      <w:r>
        <w:rPr>
          <w:rFonts w:ascii="אילת" w:hAnsi="אילת" w:hint="cs"/>
        </w:rPr>
        <w:t xml:space="preserve"> </w:t>
      </w:r>
      <w:r>
        <w:rPr>
          <w:rFonts w:ascii="אילת" w:hAnsi="אילת" w:cs="אילת" w:hint="cs"/>
          <w:rtl/>
        </w:rPr>
        <w:t>בקבלה</w:t>
      </w:r>
      <w:r>
        <w:t xml:space="preserve">, an expression that he demonstrates to be the </w:t>
      </w:r>
      <w:r>
        <w:rPr>
          <w:i/>
        </w:rPr>
        <w:t>tannaitic</w:t>
      </w:r>
      <w:r>
        <w:t xml:space="preserve"> forerunner to the </w:t>
      </w:r>
      <w:r>
        <w:rPr>
          <w:i/>
        </w:rPr>
        <w:t>amoraic</w:t>
      </w:r>
      <w:r>
        <w:t xml:space="preserve"> </w:t>
      </w:r>
      <w:r>
        <w:rPr>
          <w:rFonts w:ascii="אילת" w:hAnsi="אילת" w:cs="אילת" w:hint="cs"/>
          <w:rtl/>
        </w:rPr>
        <w:t>פתר</w:t>
      </w:r>
      <w:r>
        <w:rPr>
          <w:rFonts w:ascii="אילת" w:hAnsi="אילת" w:hint="cs"/>
        </w:rPr>
        <w:t xml:space="preserve"> </w:t>
      </w:r>
      <w:r>
        <w:rPr>
          <w:rFonts w:ascii="אילת" w:hAnsi="אילת" w:cs="אילת" w:hint="cs"/>
          <w:rtl/>
        </w:rPr>
        <w:t>עליו</w:t>
      </w:r>
      <w:r>
        <w:rPr>
          <w:rFonts w:ascii="אילת" w:hAnsi="אילת" w:hint="cs"/>
        </w:rPr>
        <w:t xml:space="preserve"> </w:t>
      </w:r>
      <w:r>
        <w:rPr>
          <w:rFonts w:ascii="אילת" w:hAnsi="אילת" w:cs="אילת" w:hint="cs"/>
          <w:rtl/>
        </w:rPr>
        <w:t>קרא</w:t>
      </w:r>
      <w:r>
        <w:t>.</w:t>
      </w:r>
      <w:r>
        <w:rPr>
          <w:rStyle w:val="FootnoteReference"/>
        </w:rPr>
        <w:footnoteReference w:id="13"/>
      </w:r>
      <w:r>
        <w:t xml:space="preserve">  We view all three of the above exegetical forms as exhibiting an “historical” focus, with the understanding that “history” refers to the course of human events, past, present and future.</w:t>
      </w:r>
      <w:r>
        <w:rPr>
          <w:rStyle w:val="FootnoteReference"/>
        </w:rPr>
        <w:footnoteReference w:id="14"/>
      </w:r>
      <w:r>
        <w:t xml:space="preserve">  However, an important distinction between the historical content of Qumran </w:t>
      </w:r>
      <w:r>
        <w:rPr>
          <w:i/>
        </w:rPr>
        <w:t xml:space="preserve">pesher </w:t>
      </w:r>
      <w:r>
        <w:t xml:space="preserve">and the rabbinic </w:t>
      </w:r>
      <w:r>
        <w:rPr>
          <w:i/>
        </w:rPr>
        <w:t>petira</w:t>
      </w:r>
      <w:r>
        <w:t xml:space="preserve"> or </w:t>
      </w:r>
      <w:r>
        <w:rPr>
          <w:rFonts w:ascii="אילת" w:hAnsi="אילת" w:cs="אילת" w:hint="cs"/>
          <w:rtl/>
        </w:rPr>
        <w:t>עליו</w:t>
      </w:r>
      <w:r>
        <w:rPr>
          <w:rFonts w:ascii="אילת" w:hAnsi="אילת" w:hint="cs"/>
        </w:rPr>
        <w:t xml:space="preserve"> </w:t>
      </w:r>
      <w:r>
        <w:rPr>
          <w:rFonts w:ascii="אילת" w:hAnsi="אילת" w:cs="אילת" w:hint="cs"/>
          <w:rtl/>
        </w:rPr>
        <w:t>מפרש</w:t>
      </w:r>
      <w:r>
        <w:t xml:space="preserve"> is the specific eschatological focus of the former.</w:t>
      </w:r>
      <w:r>
        <w:rPr>
          <w:rStyle w:val="FootnoteReference"/>
        </w:rPr>
        <w:footnoteReference w:id="15"/>
      </w:r>
    </w:p>
    <w:p w:rsidR="00C71FD3" w:rsidRDefault="00C71FD3" w:rsidP="00C71FD3">
      <w:pPr>
        <w:pStyle w:val="BodyText"/>
        <w:ind w:firstLine="432"/>
        <w:jc w:val="left"/>
        <w:rPr>
          <w:rFonts w:ascii="Times" w:hAnsi="Times"/>
        </w:rPr>
      </w:pPr>
      <w:r>
        <w:rPr>
          <w:rFonts w:ascii="Times" w:hAnsi="Times"/>
        </w:rPr>
        <w:lastRenderedPageBreak/>
        <w:t xml:space="preserve">K. Elliger in particular stressed the eschatological import that </w:t>
      </w:r>
      <w:r>
        <w:rPr>
          <w:rFonts w:ascii="Times" w:hAnsi="Times"/>
          <w:i/>
        </w:rPr>
        <w:t>pesher</w:t>
      </w:r>
      <w:r>
        <w:rPr>
          <w:rFonts w:ascii="Times" w:hAnsi="Times"/>
        </w:rPr>
        <w:t xml:space="preserve"> attributes to the biblical text, emphasizing the </w:t>
      </w:r>
      <w:r>
        <w:rPr>
          <w:rFonts w:ascii="Times" w:hAnsi="Times"/>
          <w:i/>
        </w:rPr>
        <w:t>pesher</w:t>
      </w:r>
      <w:r>
        <w:rPr>
          <w:rFonts w:ascii="Times" w:hAnsi="Times"/>
        </w:rPr>
        <w:t xml:space="preserve">’s understanding of the eschatological age as having already begun.  This eschatological meaning is taken as </w:t>
      </w:r>
      <w:r>
        <w:rPr>
          <w:rFonts w:ascii="Times" w:hAnsi="Times"/>
          <w:i/>
        </w:rPr>
        <w:t>the</w:t>
      </w:r>
      <w:r>
        <w:rPr>
          <w:rFonts w:ascii="Times" w:hAnsi="Times"/>
        </w:rPr>
        <w:t xml:space="preserve"> meaning of the base-text, which cannot be understood without a new revelation.  Elliger delineated the prime “hermeneutical principles” of </w:t>
      </w:r>
      <w:r>
        <w:rPr>
          <w:rFonts w:ascii="Times" w:hAnsi="Times"/>
          <w:i/>
        </w:rPr>
        <w:t>pesher</w:t>
      </w:r>
      <w:r>
        <w:rPr>
          <w:rFonts w:ascii="Times" w:hAnsi="Times"/>
        </w:rPr>
        <w:t xml:space="preserve"> as the beliefs that (1) biblical prophecies refer to the end-time and (2) the end-time is now.</w:t>
      </w:r>
      <w:r>
        <w:rPr>
          <w:rStyle w:val="FootnoteReference"/>
          <w:rFonts w:ascii="Times" w:hAnsi="Times"/>
        </w:rPr>
        <w:footnoteReference w:id="16"/>
      </w:r>
      <w:r>
        <w:rPr>
          <w:rFonts w:ascii="Times" w:hAnsi="Times"/>
        </w:rPr>
        <w:t xml:space="preserve">  He offered internal support for these principles from 1QpHab 7:1-8.  The first principle is clearly stated in the </w:t>
      </w:r>
      <w:r>
        <w:rPr>
          <w:rFonts w:ascii="Times" w:hAnsi="Times"/>
          <w:i/>
        </w:rPr>
        <w:t>pesher</w:t>
      </w:r>
      <w:r>
        <w:rPr>
          <w:rFonts w:ascii="Times" w:hAnsi="Times"/>
        </w:rPr>
        <w:t xml:space="preserve"> interpretation to Hab 2:2, “God told Habakkuk to write down the things that are going to come upon the last generation, but the fulfillment of the end-time He did not make known to him... God made known to [the Teacher of Righteousness] all the mysteries of the words of the prophets.”</w:t>
      </w:r>
      <w:r>
        <w:rPr>
          <w:rStyle w:val="FootnoteReference"/>
          <w:rFonts w:ascii="Times" w:hAnsi="Times"/>
        </w:rPr>
        <w:footnoteReference w:id="17"/>
      </w:r>
      <w:r>
        <w:rPr>
          <w:rFonts w:ascii="Times" w:hAnsi="Times"/>
        </w:rPr>
        <w:t xml:space="preserve">  The second principle is implied by the subsequent </w:t>
      </w:r>
      <w:r>
        <w:rPr>
          <w:rFonts w:ascii="Times" w:hAnsi="Times"/>
          <w:i/>
        </w:rPr>
        <w:t>pesher</w:t>
      </w:r>
      <w:r>
        <w:rPr>
          <w:rFonts w:ascii="Times" w:hAnsi="Times"/>
        </w:rPr>
        <w:t xml:space="preserve"> </w:t>
      </w:r>
      <w:r>
        <w:rPr>
          <w:rFonts w:ascii="Times" w:hAnsi="Times"/>
        </w:rPr>
        <w:lastRenderedPageBreak/>
        <w:t xml:space="preserve">(1QpHab 7:8 on Hab 2:3), which states that the “last end-time” will be prolonged, i.e., spanning a period of time that extends at least to the life of the author of the </w:t>
      </w:r>
      <w:r>
        <w:rPr>
          <w:rFonts w:ascii="Times" w:hAnsi="Times"/>
          <w:i/>
        </w:rPr>
        <w:t>pesher</w:t>
      </w:r>
      <w:r>
        <w:rPr>
          <w:rFonts w:ascii="Times" w:hAnsi="Times"/>
        </w:rPr>
        <w:t>, who is witnessing the fulfillment of some of these prophecies, and thus living in the end-time.</w:t>
      </w:r>
    </w:p>
    <w:p w:rsidR="00C71FD3" w:rsidRDefault="00C71FD3" w:rsidP="00C71FD3">
      <w:pPr>
        <w:pStyle w:val="BodyText"/>
        <w:ind w:firstLine="720"/>
        <w:jc w:val="left"/>
        <w:rPr>
          <w:rFonts w:ascii="Times" w:hAnsi="Times"/>
        </w:rPr>
      </w:pPr>
      <w:r>
        <w:rPr>
          <w:rFonts w:ascii="Times" w:hAnsi="Times"/>
        </w:rPr>
        <w:t xml:space="preserve">The “eschatological” nature of the application must be clarified.  Not all of the applications in the extant </w:t>
      </w:r>
      <w:r>
        <w:rPr>
          <w:rFonts w:ascii="Times" w:hAnsi="Times"/>
          <w:i/>
        </w:rPr>
        <w:t>pesharim</w:t>
      </w:r>
      <w:r>
        <w:rPr>
          <w:rFonts w:ascii="Times" w:hAnsi="Times"/>
        </w:rPr>
        <w:t xml:space="preserve"> are explicitly located in “the End of Days” (</w:t>
      </w:r>
      <w:r>
        <w:rPr>
          <w:rFonts w:ascii="אילת" w:hAnsi="אילת" w:cs="אילת" w:hint="cs"/>
          <w:rtl/>
        </w:rPr>
        <w:t>אחרית הימים</w:t>
      </w:r>
      <w:r>
        <w:rPr>
          <w:rFonts w:ascii="Times" w:hAnsi="Times"/>
        </w:rPr>
        <w:t>).</w:t>
      </w:r>
      <w:r>
        <w:rPr>
          <w:rStyle w:val="FootnoteReference"/>
          <w:rFonts w:ascii="Times" w:hAnsi="Times"/>
        </w:rPr>
        <w:footnoteReference w:id="18"/>
      </w:r>
      <w:r>
        <w:rPr>
          <w:rFonts w:ascii="Times" w:hAnsi="Times"/>
        </w:rPr>
        <w:t xml:space="preserve">  Nonetheless, Steudel has convincingly demonstrated an extended use of the term “end of days” at Qumran.</w:t>
      </w:r>
      <w:r>
        <w:rPr>
          <w:rStyle w:val="FootnoteReference"/>
          <w:rFonts w:ascii="Times" w:hAnsi="Times"/>
        </w:rPr>
        <w:footnoteReference w:id="19"/>
      </w:r>
      <w:r>
        <w:rPr>
          <w:rFonts w:ascii="Times" w:hAnsi="Times"/>
        </w:rPr>
        <w:t xml:space="preserve">  With the sense of the “end of days” as encompassing past, present, and future, the “eschatological” valence may be seen as more theological than strictly chronological.  Past events, even long-past events, may still be understood as relevant to, and as part of, the approach of the end-time.</w:t>
      </w:r>
      <w:r>
        <w:rPr>
          <w:rStyle w:val="FootnoteReference"/>
          <w:rFonts w:ascii="Times" w:hAnsi="Times"/>
        </w:rPr>
        <w:footnoteReference w:id="20"/>
      </w:r>
      <w:r>
        <w:rPr>
          <w:rFonts w:ascii="Times" w:hAnsi="Times"/>
        </w:rPr>
        <w:t xml:space="preserve">  The eschatological significance of </w:t>
      </w:r>
      <w:r>
        <w:rPr>
          <w:rFonts w:ascii="Times" w:hAnsi="Times"/>
          <w:i/>
        </w:rPr>
        <w:t>pesher</w:t>
      </w:r>
      <w:r>
        <w:rPr>
          <w:rFonts w:ascii="Times" w:hAnsi="Times"/>
        </w:rPr>
        <w:t xml:space="preserve"> applications must be viewed as a salient feature of </w:t>
      </w:r>
      <w:r>
        <w:rPr>
          <w:rFonts w:ascii="Times" w:hAnsi="Times"/>
          <w:i/>
        </w:rPr>
        <w:t>pesher</w:t>
      </w:r>
      <w:r>
        <w:rPr>
          <w:rFonts w:ascii="Times" w:hAnsi="Times"/>
        </w:rPr>
        <w:t>.</w:t>
      </w:r>
    </w:p>
    <w:p w:rsidR="00C71FD3" w:rsidRDefault="00C71FD3" w:rsidP="00C71FD3">
      <w:pPr>
        <w:pStyle w:val="BodyText"/>
        <w:ind w:firstLine="720"/>
        <w:jc w:val="left"/>
        <w:rPr>
          <w:rFonts w:ascii="Times" w:hAnsi="Times"/>
        </w:rPr>
      </w:pPr>
      <w:r>
        <w:rPr>
          <w:rFonts w:ascii="Times" w:hAnsi="Times"/>
        </w:rPr>
        <w:t xml:space="preserve">Another aspect of the theological content of </w:t>
      </w:r>
      <w:r>
        <w:rPr>
          <w:rFonts w:ascii="Times" w:hAnsi="Times"/>
          <w:i/>
        </w:rPr>
        <w:t>pesher</w:t>
      </w:r>
      <w:r>
        <w:rPr>
          <w:rFonts w:ascii="Times" w:hAnsi="Times"/>
        </w:rPr>
        <w:t xml:space="preserve">, and one that has received insufficient attention, is dualism.  In Nitzan’s discussion of the content of </w:t>
      </w:r>
      <w:r>
        <w:rPr>
          <w:rFonts w:ascii="Times" w:hAnsi="Times"/>
          <w:i/>
        </w:rPr>
        <w:t>Pesher Habakkuk</w:t>
      </w:r>
      <w:r>
        <w:rPr>
          <w:rFonts w:ascii="Times" w:hAnsi="Times"/>
        </w:rPr>
        <w:t xml:space="preserve"> she describes the sectarian conception of a dualistic struggle on three inter-related planes: the internal political, the international political, and the cosmic.</w:t>
      </w:r>
      <w:r>
        <w:rPr>
          <w:rStyle w:val="FootnoteReference"/>
          <w:rFonts w:ascii="Times" w:hAnsi="Times"/>
        </w:rPr>
        <w:footnoteReference w:id="21"/>
      </w:r>
      <w:r>
        <w:rPr>
          <w:rFonts w:ascii="Times" w:hAnsi="Times"/>
        </w:rPr>
        <w:t xml:space="preserve">  The </w:t>
      </w:r>
      <w:r>
        <w:rPr>
          <w:rFonts w:ascii="Times" w:hAnsi="Times"/>
          <w:i/>
        </w:rPr>
        <w:t>pesharim</w:t>
      </w:r>
      <w:r>
        <w:rPr>
          <w:rFonts w:ascii="Times" w:hAnsi="Times"/>
        </w:rPr>
        <w:t xml:space="preserve"> document this tri-partite struggle in each of its aspects, aiming to trace the fulfillment of the prophetic word to its ultimate resolution on all three planes, with the triumph of the Community.  The eschatological content of </w:t>
      </w:r>
      <w:r>
        <w:rPr>
          <w:rFonts w:ascii="Times" w:hAnsi="Times"/>
          <w:i/>
        </w:rPr>
        <w:t>pesher</w:t>
      </w:r>
      <w:r>
        <w:rPr>
          <w:rFonts w:ascii="Times" w:hAnsi="Times"/>
        </w:rPr>
        <w:t xml:space="preserve"> </w:t>
      </w:r>
      <w:r>
        <w:rPr>
          <w:rFonts w:ascii="Times" w:hAnsi="Times"/>
        </w:rPr>
        <w:lastRenderedPageBreak/>
        <w:t>should thus be described more specifically as reflecting basic sectarian tenets: dualism, historical determinism, and the election of the Community.</w:t>
      </w:r>
      <w:r>
        <w:rPr>
          <w:rStyle w:val="FootnoteReference"/>
          <w:rFonts w:ascii="Times" w:hAnsi="Times"/>
        </w:rPr>
        <w:footnoteReference w:id="22"/>
      </w:r>
    </w:p>
    <w:p w:rsidR="00C71FD3" w:rsidRDefault="00C71FD3" w:rsidP="00C71FD3">
      <w:pPr>
        <w:pStyle w:val="BodyText"/>
        <w:ind w:firstLine="720"/>
        <w:jc w:val="left"/>
        <w:rPr>
          <w:rFonts w:ascii="Times" w:hAnsi="Times"/>
        </w:rPr>
      </w:pPr>
    </w:p>
    <w:p w:rsidR="00C71FD3" w:rsidRDefault="00C71FD3" w:rsidP="00C71FD3">
      <w:pPr>
        <w:pStyle w:val="BodyText"/>
        <w:jc w:val="left"/>
        <w:rPr>
          <w:rFonts w:ascii="Times" w:hAnsi="Times"/>
          <w:b/>
        </w:rPr>
      </w:pPr>
      <w:r>
        <w:rPr>
          <w:rFonts w:ascii="Times" w:hAnsi="Times"/>
          <w:b/>
        </w:rPr>
        <w:t>2.2 The prophetic base-text</w:t>
      </w:r>
    </w:p>
    <w:p w:rsidR="00C71FD3" w:rsidRDefault="00C71FD3" w:rsidP="00C71FD3">
      <w:pPr>
        <w:spacing w:line="480" w:lineRule="auto"/>
        <w:rPr>
          <w:vertAlign w:val="superscript"/>
        </w:rPr>
      </w:pPr>
      <w:r>
        <w:t xml:space="preserve">C. Roth argued further for the eschatological valence of the biblical base-texts themselves, in addition to that of the </w:t>
      </w:r>
      <w:r>
        <w:rPr>
          <w:i/>
        </w:rPr>
        <w:t>pesher</w:t>
      </w:r>
      <w:r>
        <w:t xml:space="preserve"> applications.</w:t>
      </w:r>
      <w:r>
        <w:rPr>
          <w:rStyle w:val="FootnoteReference"/>
        </w:rPr>
        <w:footnoteReference w:id="23"/>
      </w:r>
      <w:r>
        <w:t xml:space="preserve">  An evaluation of the extant continuous </w:t>
      </w:r>
      <w:r>
        <w:rPr>
          <w:i/>
        </w:rPr>
        <w:t>pesharim</w:t>
      </w:r>
      <w:r>
        <w:t xml:space="preserve"> does not support the view that all of the base-texts are intrinsically “eschatological,” i.e., dealing explicitly with </w:t>
      </w:r>
      <w:r>
        <w:rPr>
          <w:rFonts w:ascii="אילת" w:hAnsi="אילת" w:cs="אילת" w:hint="cs"/>
          <w:rtl/>
        </w:rPr>
        <w:t>אחרית</w:t>
      </w:r>
      <w:r>
        <w:rPr>
          <w:rFonts w:ascii="אילת" w:hAnsi="אילת" w:hint="cs"/>
        </w:rPr>
        <w:t xml:space="preserve"> </w:t>
      </w:r>
      <w:r>
        <w:rPr>
          <w:rFonts w:ascii="אילת" w:hAnsi="אילת" w:cs="אילת" w:hint="cs"/>
          <w:rtl/>
        </w:rPr>
        <w:t>הימים</w:t>
      </w:r>
      <w:r>
        <w:t xml:space="preserve">.  However, it may be stated that the base-texts all </w:t>
      </w:r>
      <w:r>
        <w:rPr>
          <w:i/>
        </w:rPr>
        <w:t>lend themselves</w:t>
      </w:r>
      <w:r>
        <w:t xml:space="preserve"> to dualistic eschatological application.</w:t>
      </w:r>
      <w:r>
        <w:rPr>
          <w:rStyle w:val="FootnoteReference"/>
        </w:rPr>
        <w:footnoteReference w:id="24"/>
      </w:r>
      <w:r>
        <w:t xml:space="preserve">  The “eschatological” quality of each text may be evaluated on the basis of terminology (</w:t>
      </w:r>
      <w:r>
        <w:rPr>
          <w:rFonts w:ascii="אילת" w:hAnsi="אילת" w:cs="אילת" w:hint="cs"/>
          <w:rtl/>
        </w:rPr>
        <w:t>אחרית</w:t>
      </w:r>
      <w:r>
        <w:rPr>
          <w:rFonts w:ascii="אילת" w:hAnsi="אילת" w:hint="cs"/>
        </w:rPr>
        <w:t xml:space="preserve"> </w:t>
      </w:r>
      <w:r>
        <w:rPr>
          <w:rFonts w:ascii="אילת" w:hAnsi="אילת" w:cs="אילת" w:hint="cs"/>
          <w:rtl/>
        </w:rPr>
        <w:t>הימים</w:t>
      </w:r>
      <w:r>
        <w:rPr>
          <w:rFonts w:ascii="אילת" w:hAnsi="אילת"/>
        </w:rPr>
        <w:t xml:space="preserve">, </w:t>
      </w:r>
      <w:r>
        <w:rPr>
          <w:rFonts w:ascii="אילת" w:hAnsi="אילת" w:cs="אילת" w:hint="cs"/>
          <w:rtl/>
        </w:rPr>
        <w:t>אחרית</w:t>
      </w:r>
      <w:r>
        <w:rPr>
          <w:rFonts w:ascii="אילת" w:hAnsi="אילת" w:hint="cs"/>
        </w:rPr>
        <w:t xml:space="preserve"> </w:t>
      </w:r>
      <w:r>
        <w:rPr>
          <w:rFonts w:ascii="אילת" w:hAnsi="אילת" w:cs="אילת" w:hint="cs"/>
          <w:rtl/>
        </w:rPr>
        <w:t>הקץ</w:t>
      </w:r>
      <w:r>
        <w:rPr>
          <w:rFonts w:ascii="אילת" w:hAnsi="אילת"/>
        </w:rPr>
        <w:t xml:space="preserve">, </w:t>
      </w:r>
      <w:r>
        <w:rPr>
          <w:rFonts w:ascii="אילת" w:hAnsi="אילת" w:hint="cs"/>
        </w:rPr>
        <w:t xml:space="preserve"> </w:t>
      </w:r>
      <w:r>
        <w:rPr>
          <w:rFonts w:ascii="אילת" w:hAnsi="אילת" w:cs="אילת" w:hint="cs"/>
          <w:rtl/>
        </w:rPr>
        <w:t>קץ</w:t>
      </w:r>
      <w:r>
        <w:rPr>
          <w:rFonts w:ascii="אילת" w:hAnsi="אילת" w:hint="cs"/>
        </w:rPr>
        <w:t xml:space="preserve"> </w:t>
      </w:r>
      <w:r>
        <w:rPr>
          <w:rFonts w:ascii="אילת" w:hAnsi="אילת" w:cs="אילת" w:hint="cs"/>
          <w:rtl/>
        </w:rPr>
        <w:t>האחרון</w:t>
      </w:r>
      <w:r>
        <w:t>) and thematic content.</w:t>
      </w:r>
      <w:r>
        <w:rPr>
          <w:rStyle w:val="FootnoteReference"/>
        </w:rPr>
        <w:footnoteReference w:id="25"/>
      </w:r>
      <w:r>
        <w:t xml:space="preserve">  </w:t>
      </w:r>
      <w:r>
        <w:rPr>
          <w:i/>
        </w:rPr>
        <w:t>Pesharim</w:t>
      </w:r>
      <w:r>
        <w:t xml:space="preserve"> that comment upon strongly eschatological base-texts include 1QpHab,</w:t>
      </w:r>
      <w:r>
        <w:rPr>
          <w:rStyle w:val="FootnoteReference"/>
        </w:rPr>
        <w:footnoteReference w:id="26"/>
      </w:r>
      <w:r>
        <w:t xml:space="preserve"> 1QpZeph (1Q15),</w:t>
      </w:r>
      <w:r>
        <w:rPr>
          <w:rStyle w:val="FootnoteReference"/>
        </w:rPr>
        <w:footnoteReference w:id="27"/>
      </w:r>
      <w:r>
        <w:t xml:space="preserve"> 4QpIsa</w:t>
      </w:r>
      <w:r>
        <w:rPr>
          <w:vertAlign w:val="superscript"/>
        </w:rPr>
        <w:t>a</w:t>
      </w:r>
      <w:r>
        <w:t xml:space="preserve"> (4Q161),</w:t>
      </w:r>
      <w:r>
        <w:rPr>
          <w:rStyle w:val="FootnoteReference"/>
        </w:rPr>
        <w:footnoteReference w:id="28"/>
      </w:r>
      <w:r>
        <w:t xml:space="preserve"> 4QpIsa</w:t>
      </w:r>
      <w:r>
        <w:rPr>
          <w:vertAlign w:val="superscript"/>
        </w:rPr>
        <w:t>c</w:t>
      </w:r>
      <w:r>
        <w:t xml:space="preserve"> (4Q163),</w:t>
      </w:r>
      <w:r>
        <w:rPr>
          <w:rStyle w:val="FootnoteReference"/>
        </w:rPr>
        <w:footnoteReference w:id="29"/>
      </w:r>
      <w:r>
        <w:t xml:space="preserve"> 4QpIsa</w:t>
      </w:r>
      <w:r>
        <w:rPr>
          <w:vertAlign w:val="superscript"/>
        </w:rPr>
        <w:t>d</w:t>
      </w:r>
      <w:r>
        <w:t xml:space="preserve"> </w:t>
      </w:r>
      <w:r>
        <w:lastRenderedPageBreak/>
        <w:t>(4Q164),</w:t>
      </w:r>
      <w:r>
        <w:rPr>
          <w:rStyle w:val="FootnoteReference"/>
        </w:rPr>
        <w:footnoteReference w:id="30"/>
      </w:r>
      <w:r>
        <w:t xml:space="preserve"> and 4QpZeph (4Q170).</w:t>
      </w:r>
      <w:r>
        <w:rPr>
          <w:rStyle w:val="FootnoteReference"/>
        </w:rPr>
        <w:footnoteReference w:id="31"/>
      </w:r>
      <w:r>
        <w:t xml:space="preserve">  The base-texts of the following </w:t>
      </w:r>
      <w:r>
        <w:rPr>
          <w:i/>
        </w:rPr>
        <w:t>pesharim</w:t>
      </w:r>
      <w:r>
        <w:t xml:space="preserve"> focus upon divine retribution of sinners, thereby accommodating interpretations that reflect the dualistic perspective typical of the Qumran Community: 1QpMic (1Q14),</w:t>
      </w:r>
      <w:r>
        <w:rPr>
          <w:rStyle w:val="FootnoteReference"/>
        </w:rPr>
        <w:footnoteReference w:id="32"/>
      </w:r>
      <w:r>
        <w:t xml:space="preserve"> 1QpPs (1Q16),</w:t>
      </w:r>
      <w:r>
        <w:rPr>
          <w:rStyle w:val="FootnoteReference"/>
        </w:rPr>
        <w:footnoteReference w:id="33"/>
      </w:r>
      <w:r>
        <w:t xml:space="preserve"> 4QpIsa</w:t>
      </w:r>
      <w:r>
        <w:rPr>
          <w:vertAlign w:val="superscript"/>
        </w:rPr>
        <w:t>b</w:t>
      </w:r>
      <w:r>
        <w:t xml:space="preserve"> (4Q162),</w:t>
      </w:r>
      <w:r>
        <w:rPr>
          <w:rStyle w:val="FootnoteReference"/>
        </w:rPr>
        <w:footnoteReference w:id="34"/>
      </w:r>
      <w:r>
        <w:t xml:space="preserve"> 4QpIsa</w:t>
      </w:r>
      <w:r>
        <w:rPr>
          <w:vertAlign w:val="superscript"/>
        </w:rPr>
        <w:t>e</w:t>
      </w:r>
      <w:r>
        <w:t xml:space="preserve"> (4Q165),</w:t>
      </w:r>
      <w:r>
        <w:rPr>
          <w:rStyle w:val="FootnoteReference"/>
        </w:rPr>
        <w:footnoteReference w:id="35"/>
      </w:r>
      <w:r>
        <w:t xml:space="preserve"> 4QpHos</w:t>
      </w:r>
      <w:r>
        <w:rPr>
          <w:vertAlign w:val="superscript"/>
        </w:rPr>
        <w:t>a</w:t>
      </w:r>
      <w:r>
        <w:t xml:space="preserve"> (4Q166),</w:t>
      </w:r>
      <w:r>
        <w:rPr>
          <w:rStyle w:val="FootnoteReference"/>
        </w:rPr>
        <w:footnoteReference w:id="36"/>
      </w:r>
      <w:r>
        <w:t xml:space="preserve"> 4QpHos</w:t>
      </w:r>
      <w:r>
        <w:rPr>
          <w:vertAlign w:val="superscript"/>
        </w:rPr>
        <w:t>b</w:t>
      </w:r>
      <w:r>
        <w:t xml:space="preserve"> (4Q167),</w:t>
      </w:r>
      <w:r>
        <w:rPr>
          <w:rStyle w:val="FootnoteReference"/>
        </w:rPr>
        <w:footnoteReference w:id="37"/>
      </w:r>
      <w:r>
        <w:t xml:space="preserve"> 4QpNah (4Q169),</w:t>
      </w:r>
      <w:r>
        <w:rPr>
          <w:rStyle w:val="FootnoteReference"/>
        </w:rPr>
        <w:footnoteReference w:id="38"/>
      </w:r>
      <w:r>
        <w:t xml:space="preserve"> 4QpPs</w:t>
      </w:r>
      <w:r>
        <w:rPr>
          <w:vertAlign w:val="superscript"/>
        </w:rPr>
        <w:t>b</w:t>
      </w:r>
      <w:r>
        <w:t xml:space="preserve"> (4Q172)</w:t>
      </w:r>
      <w:r>
        <w:rPr>
          <w:rStyle w:val="FootnoteReference"/>
        </w:rPr>
        <w:footnoteReference w:id="39"/>
      </w:r>
      <w:r>
        <w:t>, 4QpPs</w:t>
      </w:r>
      <w:r>
        <w:rPr>
          <w:vertAlign w:val="superscript"/>
        </w:rPr>
        <w:t>a</w:t>
      </w:r>
      <w:r>
        <w:t xml:space="preserve"> (4Q171).</w:t>
      </w:r>
      <w:r>
        <w:rPr>
          <w:rStyle w:val="FootnoteReference"/>
        </w:rPr>
        <w:footnoteReference w:id="40"/>
      </w:r>
    </w:p>
    <w:p w:rsidR="00C71FD3" w:rsidRDefault="00C71FD3" w:rsidP="00C71FD3">
      <w:pPr>
        <w:spacing w:line="480" w:lineRule="auto"/>
        <w:ind w:firstLine="432"/>
      </w:pPr>
      <w:r>
        <w:lastRenderedPageBreak/>
        <w:t xml:space="preserve">The foregoing list demonstrates that the base-texts of </w:t>
      </w:r>
      <w:r>
        <w:rPr>
          <w:i/>
        </w:rPr>
        <w:t>pesher</w:t>
      </w:r>
      <w:r>
        <w:t xml:space="preserve"> are texts that are amenable to dualistic and eschatological readings, and further, that these texts are concerned with the fate of the wicked.  This concern with theodicy is frequently expressed via references to divine wrath and retribution.</w:t>
      </w:r>
      <w:r>
        <w:rPr>
          <w:rStyle w:val="FootnoteReference"/>
        </w:rPr>
        <w:footnoteReference w:id="41"/>
      </w:r>
      <w:r>
        <w:t xml:space="preserve">  Explicit “eschatological” terms, i.e. </w:t>
      </w:r>
      <w:r>
        <w:rPr>
          <w:rFonts w:ascii="אילת" w:hAnsi="אילת" w:cs="אילת" w:hint="cs"/>
          <w:rtl/>
        </w:rPr>
        <w:t>אחרית</w:t>
      </w:r>
      <w:r>
        <w:t xml:space="preserve"> and even </w:t>
      </w:r>
      <w:r>
        <w:rPr>
          <w:rFonts w:ascii="אילת" w:hAnsi="אילת" w:cs="אילת" w:hint="cs"/>
          <w:rtl/>
        </w:rPr>
        <w:t>קץ</w:t>
      </w:r>
      <w:r>
        <w:t xml:space="preserve">, do not appear regularly in these texts, but a number of the cited biblical passages feature implicit apocalyptic terms, such as “the Day of the Lord,” or “that day.”  Eschatological </w:t>
      </w:r>
      <w:r>
        <w:rPr>
          <w:i/>
        </w:rPr>
        <w:t>concepts</w:t>
      </w:r>
      <w:r>
        <w:t xml:space="preserve"> are discernible in many, but not all cases.</w:t>
      </w:r>
      <w:r>
        <w:rPr>
          <w:rStyle w:val="FootnoteReference"/>
        </w:rPr>
        <w:footnoteReference w:id="42"/>
      </w:r>
      <w:r>
        <w:t xml:space="preserve">  However, other passages that are treated by </w:t>
      </w:r>
      <w:r>
        <w:rPr>
          <w:i/>
        </w:rPr>
        <w:t>pesher</w:t>
      </w:r>
      <w:r>
        <w:t xml:space="preserve">, e.g. Nahum, or Psalm 60, are more naturally considered non-eschatological in their original, historically specific </w:t>
      </w:r>
      <w:r>
        <w:lastRenderedPageBreak/>
        <w:t xml:space="preserve">contexts.  Here, particular phrases, or relevant themes would have recommended the texts for eschatological/historical </w:t>
      </w:r>
      <w:r>
        <w:rPr>
          <w:i/>
        </w:rPr>
        <w:t>pesher</w:t>
      </w:r>
      <w:r>
        <w:t xml:space="preserve"> interpretation.</w:t>
      </w:r>
      <w:r>
        <w:rPr>
          <w:rStyle w:val="FootnoteReference"/>
        </w:rPr>
        <w:footnoteReference w:id="43"/>
      </w:r>
    </w:p>
    <w:p w:rsidR="00C71FD3" w:rsidRDefault="00C71FD3" w:rsidP="00C71FD3">
      <w:pPr>
        <w:spacing w:line="480" w:lineRule="auto"/>
        <w:ind w:firstLine="432"/>
      </w:pPr>
      <w:r>
        <w:t xml:space="preserve">A more general characteristic of the base-text is that all the texts subjected to </w:t>
      </w:r>
      <w:r>
        <w:rPr>
          <w:i/>
        </w:rPr>
        <w:t>pesher</w:t>
      </w:r>
      <w:r>
        <w:t xml:space="preserve"> commentary are prophetic.  The Targum to the single biblical occurrence of the Hebrew root </w:t>
      </w:r>
      <w:r>
        <w:rPr>
          <w:rFonts w:ascii="אילת" w:hAnsi="אילת" w:cs="אילת" w:hint="cs"/>
          <w:rtl/>
        </w:rPr>
        <w:t>פשר</w:t>
      </w:r>
      <w:r>
        <w:t xml:space="preserve"> (at Eccl 8:1 </w:t>
      </w:r>
      <w:r>
        <w:rPr>
          <w:rFonts w:ascii="אילת" w:hAnsi="אילת" w:cs="אילת" w:hint="cs"/>
          <w:rtl/>
        </w:rPr>
        <w:t>לדעת</w:t>
      </w:r>
      <w:r>
        <w:rPr>
          <w:rFonts w:ascii="אילת" w:hAnsi="אילת" w:hint="cs"/>
        </w:rPr>
        <w:t xml:space="preserve"> </w:t>
      </w:r>
      <w:r>
        <w:rPr>
          <w:rFonts w:ascii="אילת" w:hAnsi="אילת" w:cs="אילת" w:hint="cs"/>
          <w:rtl/>
        </w:rPr>
        <w:t>פשר</w:t>
      </w:r>
      <w:r>
        <w:rPr>
          <w:rFonts w:ascii="אילת" w:hAnsi="אילת" w:hint="cs"/>
        </w:rPr>
        <w:t xml:space="preserve"> </w:t>
      </w:r>
      <w:r>
        <w:rPr>
          <w:rFonts w:ascii="אילת" w:hAnsi="אילת" w:cs="אילת" w:hint="cs"/>
          <w:rtl/>
        </w:rPr>
        <w:t>דבר</w:t>
      </w:r>
      <w:r>
        <w:t>) associates the term with Prophets or prophecies.  H. Yalon pointed to this Targum in conjunction with 1QpHab 2:8-9, which states that God endowed the priest (the Teacher of Righteousness) with the ability to interpret (</w:t>
      </w:r>
      <w:r>
        <w:rPr>
          <w:rFonts w:ascii="אילת" w:hAnsi="אילת" w:cs="אילת" w:hint="cs"/>
          <w:rtl/>
        </w:rPr>
        <w:t>לפשור</w:t>
      </w:r>
      <w:r>
        <w:t>) all the words (</w:t>
      </w:r>
      <w:r>
        <w:rPr>
          <w:rFonts w:ascii="אילת" w:hAnsi="אילת" w:cs="אילת" w:hint="cs"/>
          <w:rtl/>
        </w:rPr>
        <w:t>דברי</w:t>
      </w:r>
      <w:r>
        <w:t>) of the prophets.</w:t>
      </w:r>
      <w:r>
        <w:rPr>
          <w:rStyle w:val="FootnoteReference"/>
        </w:rPr>
        <w:footnoteReference w:id="44"/>
      </w:r>
      <w:r>
        <w:t xml:space="preserve">  The comparison between Qumran </w:t>
      </w:r>
      <w:r>
        <w:rPr>
          <w:i/>
        </w:rPr>
        <w:t xml:space="preserve">pesher </w:t>
      </w:r>
      <w:r>
        <w:t xml:space="preserve">and the rabbinic </w:t>
      </w:r>
      <w:r>
        <w:rPr>
          <w:rFonts w:hint="cs"/>
          <w:i/>
        </w:rPr>
        <w:t>petira</w:t>
      </w:r>
      <w:r>
        <w:t xml:space="preserve"> is relevant here again.  Extant examples of “</w:t>
      </w:r>
      <w:r>
        <w:rPr>
          <w:i/>
        </w:rPr>
        <w:t>petira</w:t>
      </w:r>
      <w:r>
        <w:t xml:space="preserve">” tend to address verses from the Prophets and poetic Hagiographa.  In this context, recall Mandel’s characterization of the </w:t>
      </w:r>
      <w:r>
        <w:rPr>
          <w:i/>
        </w:rPr>
        <w:t>petira</w:t>
      </w:r>
      <w:r>
        <w:t xml:space="preserve"> as an amoraic descendant of</w:t>
      </w:r>
      <w:r>
        <w:rPr>
          <w:rFonts w:hint="cs"/>
        </w:rPr>
        <w:t xml:space="preserve"> </w:t>
      </w:r>
      <w:r>
        <w:t>“</w:t>
      </w:r>
      <w:r>
        <w:rPr>
          <w:rFonts w:ascii="אילת" w:hAnsi="אילת" w:cs="אילת" w:hint="cs"/>
          <w:rtl/>
        </w:rPr>
        <w:t>עליו</w:t>
      </w:r>
      <w:r>
        <w:rPr>
          <w:rFonts w:ascii="אילת" w:hAnsi="אילת" w:hint="cs"/>
        </w:rPr>
        <w:t xml:space="preserve"> </w:t>
      </w:r>
      <w:r>
        <w:rPr>
          <w:rFonts w:ascii="אילת" w:hAnsi="אילת" w:cs="אילת" w:hint="cs"/>
          <w:rtl/>
        </w:rPr>
        <w:t>מפרש</w:t>
      </w:r>
      <w:r>
        <w:rPr>
          <w:rFonts w:ascii="אילת" w:hAnsi="אילת" w:hint="cs"/>
        </w:rPr>
        <w:t xml:space="preserve"> </w:t>
      </w:r>
      <w:r>
        <w:rPr>
          <w:rFonts w:ascii="אילת" w:hAnsi="אילת" w:cs="אילת" w:hint="cs"/>
          <w:rtl/>
        </w:rPr>
        <w:t>בקבלה</w:t>
      </w:r>
      <w:r>
        <w:t xml:space="preserve">,” for the term </w:t>
      </w:r>
      <w:r>
        <w:rPr>
          <w:rFonts w:ascii="אילת" w:hAnsi="אילת" w:cs="אילת" w:hint="cs"/>
          <w:rtl/>
        </w:rPr>
        <w:t>קבלה</w:t>
      </w:r>
      <w:r>
        <w:rPr>
          <w:rFonts w:hint="cs"/>
        </w:rPr>
        <w:t xml:space="preserve"> </w:t>
      </w:r>
      <w:r>
        <w:t xml:space="preserve">signifies the Prophets and </w:t>
      </w:r>
      <w:r>
        <w:lastRenderedPageBreak/>
        <w:t>Hagiographa.</w:t>
      </w:r>
      <w:r>
        <w:rPr>
          <w:rStyle w:val="FootnoteReference"/>
        </w:rPr>
        <w:footnoteReference w:id="45"/>
      </w:r>
      <w:r>
        <w:t xml:space="preserve">  The extant continuous </w:t>
      </w:r>
      <w:r>
        <w:rPr>
          <w:i/>
        </w:rPr>
        <w:t>pesharim</w:t>
      </w:r>
      <w:r>
        <w:t xml:space="preserve"> interpret books of the Minor Prophets, Isaiah, and Psalms.</w:t>
      </w:r>
      <w:r>
        <w:rPr>
          <w:rStyle w:val="FootnoteReference"/>
        </w:rPr>
        <w:footnoteReference w:id="46"/>
      </w:r>
    </w:p>
    <w:p w:rsidR="00C71FD3" w:rsidRDefault="00C71FD3" w:rsidP="00C71FD3">
      <w:pPr>
        <w:spacing w:line="480" w:lineRule="auto"/>
        <w:ind w:firstLine="432"/>
      </w:pPr>
      <w:r>
        <w:t xml:space="preserve">In sum, the use of an eschatologically significant prophetic/poetic </w:t>
      </w:r>
      <w:r>
        <w:rPr>
          <w:i/>
        </w:rPr>
        <w:t>base-text</w:t>
      </w:r>
      <w:r>
        <w:t xml:space="preserve"> must be viewed as a typical, and perhaps even an essential, feature of </w:t>
      </w:r>
      <w:r>
        <w:rPr>
          <w:i/>
        </w:rPr>
        <w:t>pesharim</w:t>
      </w:r>
      <w:r>
        <w:t>.</w:t>
      </w:r>
      <w:r>
        <w:rPr>
          <w:rStyle w:val="FootnoteReference"/>
        </w:rPr>
        <w:footnoteReference w:id="47"/>
      </w:r>
      <w:r>
        <w:t xml:space="preserve">  A theologically distinctive, historical and, specifically, eschatological </w:t>
      </w:r>
      <w:r>
        <w:rPr>
          <w:i/>
        </w:rPr>
        <w:t>application of the base-text</w:t>
      </w:r>
      <w:r>
        <w:t xml:space="preserve"> is certainly essential.</w:t>
      </w:r>
      <w:r>
        <w:rPr>
          <w:rStyle w:val="FootnoteReference"/>
        </w:rPr>
        <w:footnoteReference w:id="48"/>
      </w:r>
    </w:p>
    <w:p w:rsidR="00C71FD3" w:rsidRDefault="00C71FD3" w:rsidP="00C71FD3">
      <w:pPr>
        <w:spacing w:line="480" w:lineRule="auto"/>
        <w:jc w:val="center"/>
        <w:rPr>
          <w:b/>
        </w:rPr>
      </w:pPr>
      <w:r>
        <w:rPr>
          <w:b/>
        </w:rPr>
        <w:lastRenderedPageBreak/>
        <w:t>3. Method</w:t>
      </w:r>
      <w:r>
        <w:rPr>
          <w:rStyle w:val="FootnoteReference"/>
        </w:rPr>
        <w:footnoteReference w:id="49"/>
      </w:r>
    </w:p>
    <w:p w:rsidR="00C71FD3" w:rsidRDefault="00C71FD3" w:rsidP="00C71FD3">
      <w:pPr>
        <w:spacing w:line="480" w:lineRule="auto"/>
      </w:pPr>
      <w:r>
        <w:t xml:space="preserve">The source of </w:t>
      </w:r>
      <w:r>
        <w:rPr>
          <w:i/>
        </w:rPr>
        <w:t>pesher</w:t>
      </w:r>
      <w:r>
        <w:t xml:space="preserve">, or method of arriving at </w:t>
      </w:r>
      <w:r>
        <w:rPr>
          <w:i/>
        </w:rPr>
        <w:t>pesher</w:t>
      </w:r>
      <w:r>
        <w:t xml:space="preserve"> interpretation, has been alternately claimed to be “revelation” or “exegesis.”</w:t>
      </w:r>
      <w:r>
        <w:rPr>
          <w:rStyle w:val="FootnoteReference"/>
        </w:rPr>
        <w:footnoteReference w:id="50"/>
      </w:r>
      <w:r>
        <w:t xml:space="preserve">  The characterization of </w:t>
      </w:r>
      <w:r>
        <w:rPr>
          <w:i/>
        </w:rPr>
        <w:t>pesher</w:t>
      </w:r>
      <w:r>
        <w:t xml:space="preserve"> as “inspired exegesis” indicates a synthesis of “revelation” and “exegesis,” both of which must be seen as central to </w:t>
      </w:r>
      <w:r>
        <w:rPr>
          <w:i/>
        </w:rPr>
        <w:t>pesher</w:t>
      </w:r>
      <w:r>
        <w:t>.</w:t>
      </w:r>
    </w:p>
    <w:p w:rsidR="00C71FD3" w:rsidRDefault="00C71FD3" w:rsidP="00C71FD3">
      <w:pPr>
        <w:spacing w:line="480" w:lineRule="auto"/>
      </w:pPr>
    </w:p>
    <w:p w:rsidR="00C71FD3" w:rsidRDefault="00C71FD3" w:rsidP="00C71FD3">
      <w:pPr>
        <w:spacing w:line="480" w:lineRule="auto"/>
        <w:rPr>
          <w:b/>
        </w:rPr>
      </w:pPr>
      <w:r>
        <w:rPr>
          <w:b/>
        </w:rPr>
        <w:t>3.1 Revelation</w:t>
      </w:r>
    </w:p>
    <w:p w:rsidR="00C71FD3" w:rsidRDefault="00C71FD3" w:rsidP="00C71FD3">
      <w:pPr>
        <w:spacing w:line="480" w:lineRule="auto"/>
      </w:pPr>
      <w:r>
        <w:lastRenderedPageBreak/>
        <w:t xml:space="preserve">One avenue of insight into this issue is the etymology of the term </w:t>
      </w:r>
      <w:r>
        <w:rPr>
          <w:i/>
        </w:rPr>
        <w:t>pesher</w:t>
      </w:r>
      <w:r>
        <w:t xml:space="preserve">.  The late Hebrew root </w:t>
      </w:r>
      <w:r>
        <w:rPr>
          <w:rFonts w:ascii="אילת" w:hAnsi="אילת" w:cs="אילת" w:hint="cs"/>
          <w:rtl/>
        </w:rPr>
        <w:t>פשר</w:t>
      </w:r>
      <w:r>
        <w:t xml:space="preserve"> is related to the Aramaic </w:t>
      </w:r>
      <w:r>
        <w:rPr>
          <w:rFonts w:ascii="אילת" w:hAnsi="אילת" w:cs="אילת" w:hint="cs"/>
          <w:rtl/>
        </w:rPr>
        <w:t>פשר</w:t>
      </w:r>
      <w:r>
        <w:t>, which is cognate to the Akkadian</w:t>
      </w:r>
      <w:r>
        <w:rPr>
          <w:rFonts w:ascii="אילת" w:hAnsi="אילת"/>
        </w:rPr>
        <w:t xml:space="preserve"> </w:t>
      </w:r>
      <w:r>
        <w:rPr>
          <w:rFonts w:ascii="Semitic" w:hAnsi="Semitic"/>
          <w:i/>
        </w:rPr>
        <w:t>paßœru</w:t>
      </w:r>
      <w:r>
        <w:t>.</w:t>
      </w:r>
      <w:r>
        <w:rPr>
          <w:rStyle w:val="FootnoteReference"/>
        </w:rPr>
        <w:footnoteReference w:id="51"/>
      </w:r>
      <w:r>
        <w:t xml:space="preserve">  The root meaning of the Akkadian, “to unbind or release,” was extended to denote specifically the “unbinding of dreams.”</w:t>
      </w:r>
      <w:r>
        <w:rPr>
          <w:rStyle w:val="FootnoteReference"/>
        </w:rPr>
        <w:footnoteReference w:id="52"/>
      </w:r>
      <w:r>
        <w:t xml:space="preserve">  As is well known, Aramaic </w:t>
      </w:r>
      <w:r>
        <w:rPr>
          <w:rFonts w:ascii="אילת" w:hAnsi="אילת" w:cs="אילת" w:hint="cs"/>
          <w:rtl/>
        </w:rPr>
        <w:t>פשר</w:t>
      </w:r>
      <w:r>
        <w:t xml:space="preserve"> appears frequently in the book of Daniel in the sense of dream interpretation (e.g., 4:3; 5:12).</w:t>
      </w:r>
      <w:r>
        <w:rPr>
          <w:rStyle w:val="FootnoteReference"/>
        </w:rPr>
        <w:footnoteReference w:id="53"/>
      </w:r>
      <w:r>
        <w:t xml:space="preserve">  The Hebrew </w:t>
      </w:r>
      <w:r>
        <w:rPr>
          <w:rFonts w:ascii="אילת" w:hAnsi="אילת" w:cs="אילת" w:hint="cs"/>
          <w:rtl/>
        </w:rPr>
        <w:t>פשר</w:t>
      </w:r>
      <w:r>
        <w:t xml:space="preserve"> as used at Qumran is a Hebraization of this Aramaic </w:t>
      </w:r>
      <w:r>
        <w:rPr>
          <w:rFonts w:ascii="אילת" w:hAnsi="אילת" w:cs="אילת" w:hint="cs"/>
          <w:rtl/>
        </w:rPr>
        <w:t>פשר</w:t>
      </w:r>
      <w:r>
        <w:t>.</w:t>
      </w:r>
      <w:r>
        <w:rPr>
          <w:rStyle w:val="FootnoteReference"/>
        </w:rPr>
        <w:footnoteReference w:id="54"/>
      </w:r>
      <w:r>
        <w:t xml:space="preserve">  Thus, the term </w:t>
      </w:r>
      <w:r>
        <w:rPr>
          <w:i/>
        </w:rPr>
        <w:t>pesher</w:t>
      </w:r>
      <w:r>
        <w:t xml:space="preserve"> has an ancient basis in the sense of “loosening” as applied to dream interpretation.</w:t>
      </w:r>
      <w:r>
        <w:rPr>
          <w:rStyle w:val="FootnoteReference"/>
        </w:rPr>
        <w:footnoteReference w:id="55"/>
      </w:r>
    </w:p>
    <w:p w:rsidR="00C71FD3" w:rsidRDefault="00C71FD3" w:rsidP="00C71FD3">
      <w:pPr>
        <w:spacing w:line="480" w:lineRule="auto"/>
        <w:ind w:firstLine="720"/>
      </w:pPr>
      <w:r>
        <w:lastRenderedPageBreak/>
        <w:t>In the Bible, dreams are viewed as prophetic, but their hidden significance, their “</w:t>
      </w:r>
      <w:r>
        <w:rPr>
          <w:i/>
        </w:rPr>
        <w:t>pesher</w:t>
      </w:r>
      <w:r>
        <w:t>” or “</w:t>
      </w:r>
      <w:r>
        <w:rPr>
          <w:i/>
        </w:rPr>
        <w:t>pitaron</w:t>
      </w:r>
      <w:r>
        <w:t xml:space="preserve">,” can only be brought to light by specially endowed individuals.  Ostensibly, biblical prophecies are themselves revealed mysteries, already made accessible to humanity by means of a divinely inspired agent.  Herein, however, lies the unique view of the Qumran Community.  The Community understood the figure of the prophet as analogous to that of a dreamer, reporting a dream.  The agency of an additional select individual was required for the unraveling of the coded predictions.  The word </w:t>
      </w:r>
      <w:r>
        <w:rPr>
          <w:i/>
        </w:rPr>
        <w:t>pesher</w:t>
      </w:r>
      <w:r>
        <w:t xml:space="preserve"> indicates this deciphering of coded prophetic messages.  In Dan 5:8, 15, 26 the Aramaic </w:t>
      </w:r>
      <w:r>
        <w:rPr>
          <w:rFonts w:ascii="אילת" w:hAnsi="אילת" w:cs="אילת" w:hint="cs"/>
          <w:rtl/>
        </w:rPr>
        <w:t>פשר</w:t>
      </w:r>
      <w:r>
        <w:t xml:space="preserve"> refers to the deciphering of mysterious prophetic/predictive writing, the “writing on the wall.”  At Qumran, </w:t>
      </w:r>
      <w:r>
        <w:rPr>
          <w:i/>
        </w:rPr>
        <w:t>pesher</w:t>
      </w:r>
      <w:r>
        <w:t xml:space="preserve"> is intended to reveal the “true meaning” of a divinely revealed text. </w:t>
      </w:r>
    </w:p>
    <w:p w:rsidR="00C71FD3" w:rsidRDefault="00C71FD3" w:rsidP="00C71FD3">
      <w:pPr>
        <w:spacing w:line="480" w:lineRule="auto"/>
        <w:ind w:firstLine="720"/>
      </w:pPr>
      <w:r>
        <w:t>Sperling observed that the Akkadian cognate term may refer not only to the releasing of the mysteries hidden in dreams (i.e. revelation), but also to the releasing and exorcizing of the negative outcomes portended by dreams.</w:t>
      </w:r>
      <w:r>
        <w:rPr>
          <w:rStyle w:val="FootnoteReference"/>
        </w:rPr>
        <w:footnoteReference w:id="56"/>
      </w:r>
      <w:r>
        <w:t xml:space="preserve">  In contrast, the wording of Genesis 40-41 implies that the </w:t>
      </w:r>
      <w:r>
        <w:rPr>
          <w:i/>
        </w:rPr>
        <w:t>pitaron</w:t>
      </w:r>
      <w:r>
        <w:t xml:space="preserve"> only revealed the events portended by the dreams, but does not effect or affect their fulfillment.  The biblical dreamers “dreamed according to the </w:t>
      </w:r>
      <w:r>
        <w:rPr>
          <w:i/>
        </w:rPr>
        <w:t>pitaron</w:t>
      </w:r>
      <w:r>
        <w:t xml:space="preserve"> of their dreams” (Gen 40:5; 41:11); thus, the </w:t>
      </w:r>
      <w:r>
        <w:rPr>
          <w:i/>
        </w:rPr>
        <w:t>pitaron</w:t>
      </w:r>
      <w:r>
        <w:t xml:space="preserve"> is the actuality represented by the dream, whether or not any human agent discerns that reality and its relationship to the dream.  Similarly, at Qumran, </w:t>
      </w:r>
      <w:r>
        <w:rPr>
          <w:i/>
        </w:rPr>
        <w:t>pesher</w:t>
      </w:r>
      <w:r>
        <w:t xml:space="preserve"> is revelatory, not magical.  It supplies information about, but does not effect, reality.</w:t>
      </w:r>
      <w:r>
        <w:rPr>
          <w:rStyle w:val="FootnoteReference"/>
        </w:rPr>
        <w:footnoteReference w:id="57"/>
      </w:r>
    </w:p>
    <w:p w:rsidR="00C71FD3" w:rsidRDefault="00C71FD3" w:rsidP="00C71FD3">
      <w:pPr>
        <w:spacing w:line="480" w:lineRule="auto"/>
        <w:ind w:firstLine="720"/>
      </w:pPr>
      <w:r>
        <w:lastRenderedPageBreak/>
        <w:t>For Elliger</w:t>
      </w:r>
      <w:r>
        <w:rPr>
          <w:rStyle w:val="FootnoteReference"/>
        </w:rPr>
        <w:footnoteReference w:id="58"/>
      </w:r>
      <w:r>
        <w:t xml:space="preserve"> and Rabinowitz,</w:t>
      </w:r>
      <w:r>
        <w:rPr>
          <w:rStyle w:val="FootnoteReference"/>
        </w:rPr>
        <w:footnoteReference w:id="59"/>
      </w:r>
      <w:r>
        <w:t xml:space="preserve"> the revelatory nature of </w:t>
      </w:r>
      <w:r>
        <w:rPr>
          <w:i/>
        </w:rPr>
        <w:t>pesher</w:t>
      </w:r>
      <w:r>
        <w:t xml:space="preserve"> was particularly associated with its eschatological content.  Rabinowitz describes an affinity between </w:t>
      </w:r>
      <w:r>
        <w:rPr>
          <w:i/>
        </w:rPr>
        <w:t>pesher</w:t>
      </w:r>
      <w:r>
        <w:t xml:space="preserve"> and apocalyptic literature, citing 1QpHab 2:2-3, “and God recounted to him all that was to come...” The </w:t>
      </w:r>
      <w:r>
        <w:rPr>
          <w:i/>
        </w:rPr>
        <w:t>pesher</w:t>
      </w:r>
      <w:r>
        <w:t xml:space="preserve"> states that the Teacher’s words come “from the mouth of God.”</w:t>
      </w:r>
      <w:r>
        <w:rPr>
          <w:rStyle w:val="FootnoteReference"/>
        </w:rPr>
        <w:footnoteReference w:id="60"/>
      </w:r>
      <w:r>
        <w:t xml:space="preserve">  We would agree with Rabinowitz that </w:t>
      </w:r>
      <w:r>
        <w:rPr>
          <w:i/>
        </w:rPr>
        <w:t>pesher</w:t>
      </w:r>
      <w:r>
        <w:t xml:space="preserve"> functioned as the “revelation of revelation,” specifically the revelation of historical/eschatological reality, a “decoding” and “deciphering.”  Unlike Rabinowitz, though, we see this characteristic as only part of the distinctive nature of </w:t>
      </w:r>
      <w:r>
        <w:rPr>
          <w:i/>
        </w:rPr>
        <w:t>pesher</w:t>
      </w:r>
      <w:r>
        <w:t>.  In the following section, we address the equally essential ingredient of exegesis.</w:t>
      </w:r>
      <w:r>
        <w:rPr>
          <w:rStyle w:val="FootnoteReference"/>
        </w:rPr>
        <w:footnoteReference w:id="61"/>
      </w:r>
    </w:p>
    <w:p w:rsidR="00C71FD3" w:rsidRDefault="00C71FD3" w:rsidP="00C71FD3">
      <w:pPr>
        <w:spacing w:line="480" w:lineRule="auto"/>
      </w:pPr>
    </w:p>
    <w:p w:rsidR="00C71FD3" w:rsidRDefault="00C71FD3" w:rsidP="00C71FD3">
      <w:pPr>
        <w:spacing w:line="480" w:lineRule="auto"/>
        <w:rPr>
          <w:b/>
        </w:rPr>
      </w:pPr>
      <w:r>
        <w:rPr>
          <w:b/>
        </w:rPr>
        <w:t>3.2 Exegesis</w:t>
      </w:r>
    </w:p>
    <w:p w:rsidR="00C71FD3" w:rsidRDefault="00C71FD3" w:rsidP="00C71FD3">
      <w:pPr>
        <w:spacing w:line="480" w:lineRule="auto"/>
      </w:pPr>
      <w:r>
        <w:lastRenderedPageBreak/>
        <w:t xml:space="preserve">The lexical tie between citations and interpretations in </w:t>
      </w:r>
      <w:r>
        <w:rPr>
          <w:i/>
        </w:rPr>
        <w:t>pesher</w:t>
      </w:r>
      <w:r>
        <w:t xml:space="preserve"> is undeniable.  Nonetheless one might ask whether this correlation points to an exegetical process as the means to the derivation of the </w:t>
      </w:r>
      <w:r>
        <w:rPr>
          <w:i/>
        </w:rPr>
        <w:t>pesher</w:t>
      </w:r>
      <w:r>
        <w:t xml:space="preserve">, or whether the </w:t>
      </w:r>
      <w:r>
        <w:rPr>
          <w:i/>
        </w:rPr>
        <w:t>pesher</w:t>
      </w:r>
      <w:r>
        <w:t xml:space="preserve"> should be seen as simply a literary expression of revealed content.  In reality, this distinction cannot hold up, whether in our evaluation of ancient perceptions or in our own critical analysis.  The modern scholar can hardly define, much less accept, the premise that the author received a “revelation” of the true eschatological meaning of the biblical verse.  (This is not just because of the “unscientific” nature of this approach, but also because of the fact that these meanings have clearly turned out to be false).  The author of </w:t>
      </w:r>
      <w:r>
        <w:rPr>
          <w:i/>
        </w:rPr>
        <w:t>pesher</w:t>
      </w:r>
      <w:r>
        <w:t xml:space="preserve"> is likely to have perceived himself as engaging in a “seamless, undifferentiated” activity, but there is no doubt that this activity involved exegetical methods.</w:t>
      </w:r>
      <w:r>
        <w:rPr>
          <w:rStyle w:val="FootnoteReference"/>
        </w:rPr>
        <w:footnoteReference w:id="62"/>
      </w:r>
    </w:p>
    <w:p w:rsidR="00C71FD3" w:rsidRDefault="00C71FD3" w:rsidP="00C71FD3">
      <w:pPr>
        <w:spacing w:line="480" w:lineRule="auto"/>
        <w:ind w:firstLine="432"/>
      </w:pPr>
      <w:r>
        <w:t xml:space="preserve">Silberman has brought the book of Daniel into the context of this discussion.  It is true that God reveals hidden meanings to Daniel, but it must also be recognized that these meanings are already present, though encoded, in the book’s dreams and in the handwriting on the wall.  </w:t>
      </w:r>
      <w:r>
        <w:lastRenderedPageBreak/>
        <w:t>Symbolism and word-play are clearly in evidence.</w:t>
      </w:r>
      <w:r>
        <w:rPr>
          <w:rStyle w:val="FootnoteReference"/>
        </w:rPr>
        <w:footnoteReference w:id="63"/>
      </w:r>
      <w:r>
        <w:t xml:space="preserve">  Like Daniel, 1QpHab claims revelation as the source of its interpretations; exegetical ties are operative in both instances.  </w:t>
      </w:r>
    </w:p>
    <w:p w:rsidR="00C71FD3" w:rsidRDefault="00C71FD3" w:rsidP="00C71FD3">
      <w:pPr>
        <w:spacing w:line="480" w:lineRule="auto"/>
        <w:ind w:firstLine="432"/>
      </w:pPr>
      <w:r>
        <w:t xml:space="preserve">Brownlee was the first and most staunch proponent of taking exegesis as the generic determinant of </w:t>
      </w:r>
      <w:r>
        <w:rPr>
          <w:i/>
        </w:rPr>
        <w:t>pesher</w:t>
      </w:r>
      <w:r>
        <w:t>.</w:t>
      </w:r>
      <w:r>
        <w:rPr>
          <w:rStyle w:val="FootnoteReference"/>
        </w:rPr>
        <w:footnoteReference w:id="64"/>
      </w:r>
      <w:r>
        <w:t xml:space="preserve">  He compiled thirteen “Hermeneutical Principles or Presuppositions” for 1QpHab.  Some of these were over-arching concepts, such as the eschatological significance of the prophetic base-text, (principle #1) while others were very specific techniques: e.g. interpreting words in the lemma as abbreviations, in the manner of rabbinic </w:t>
      </w:r>
      <w:r>
        <w:rPr>
          <w:i/>
        </w:rPr>
        <w:t>notariqon</w:t>
      </w:r>
      <w:r>
        <w:t xml:space="preserve"> (#12), or as anagrams (#9).</w:t>
      </w:r>
      <w:r>
        <w:rPr>
          <w:rStyle w:val="FootnoteReference"/>
        </w:rPr>
        <w:footnoteReference w:id="65"/>
      </w:r>
      <w:r>
        <w:t xml:space="preserve">  Subsequent scholars have compiled additional lists of </w:t>
      </w:r>
      <w:r>
        <w:rPr>
          <w:i/>
        </w:rPr>
        <w:t>pesher</w:t>
      </w:r>
      <w:r>
        <w:t xml:space="preserve"> techniques, identified and organized according to their own respective hermeneutics.</w:t>
      </w:r>
      <w:r>
        <w:rPr>
          <w:rStyle w:val="FootnoteReference"/>
        </w:rPr>
        <w:footnoteReference w:id="66"/>
      </w:r>
    </w:p>
    <w:p w:rsidR="00C71FD3" w:rsidRDefault="00C71FD3" w:rsidP="00C71FD3">
      <w:pPr>
        <w:spacing w:line="480" w:lineRule="auto"/>
        <w:ind w:firstLine="432"/>
      </w:pPr>
      <w:r>
        <w:lastRenderedPageBreak/>
        <w:t>The most developed and useful classification is that of Nitzan.</w:t>
      </w:r>
      <w:r>
        <w:rPr>
          <w:rStyle w:val="FootnoteReference"/>
        </w:rPr>
        <w:footnoteReference w:id="67"/>
      </w:r>
      <w:r>
        <w:t xml:space="preserve">  Her categories are:  (1) paraphrase,</w:t>
      </w:r>
      <w:r>
        <w:rPr>
          <w:rStyle w:val="FootnoteReference"/>
        </w:rPr>
        <w:footnoteReference w:id="68"/>
      </w:r>
      <w:r>
        <w:t xml:space="preserve"> (2) allegory,</w:t>
      </w:r>
      <w:r>
        <w:rPr>
          <w:rStyle w:val="FootnoteReference"/>
        </w:rPr>
        <w:footnoteReference w:id="69"/>
      </w:r>
      <w:r>
        <w:t xml:space="preserve"> (3) polyvalence,</w:t>
      </w:r>
      <w:r>
        <w:rPr>
          <w:rStyle w:val="FootnoteReference"/>
        </w:rPr>
        <w:footnoteReference w:id="70"/>
      </w:r>
      <w:r>
        <w:t xml:space="preserve"> and (4) “re-contextualization”.</w:t>
      </w:r>
      <w:r>
        <w:rPr>
          <w:rStyle w:val="FootnoteReference"/>
        </w:rPr>
        <w:footnoteReference w:id="71"/>
      </w:r>
      <w:r>
        <w:t xml:space="preserve">  These exegetical methods comprise the first step in a bi-level process, aiming towards the “correlation” of the prophecy to (contemporary/eschatological) reality.</w:t>
      </w:r>
      <w:r>
        <w:rPr>
          <w:rStyle w:val="FootnoteReference"/>
        </w:rPr>
        <w:footnoteReference w:id="72"/>
      </w:r>
      <w:r>
        <w:t xml:space="preserve">  First, an application is derived from words, phrases or ideas in the lemma.  Then, literary considerations determine the description of the </w:t>
      </w:r>
      <w:r>
        <w:lastRenderedPageBreak/>
        <w:t>composite event.  The literary techniques of expression include structural balance, especially parallelism, and the use of secondary biblical texts.</w:t>
      </w:r>
      <w:r>
        <w:rPr>
          <w:rStyle w:val="FootnoteReference"/>
        </w:rPr>
        <w:footnoteReference w:id="73"/>
      </w:r>
      <w:r>
        <w:t xml:space="preserve">  Nitzan’s most significant contribution is her clarification of this second stage of </w:t>
      </w:r>
      <w:r>
        <w:rPr>
          <w:i/>
        </w:rPr>
        <w:t>pesher</w:t>
      </w:r>
      <w:r>
        <w:t>—the literary development of a unified work.</w:t>
      </w:r>
      <w:r>
        <w:rPr>
          <w:rStyle w:val="FootnoteReference"/>
        </w:rPr>
        <w:footnoteReference w:id="74"/>
      </w:r>
      <w:r>
        <w:t xml:space="preserve">  The prevailing conception of the “literary approach” of </w:t>
      </w:r>
      <w:r>
        <w:rPr>
          <w:i/>
        </w:rPr>
        <w:t>pesher</w:t>
      </w:r>
      <w:r>
        <w:t xml:space="preserve"> is its negation, following Elliger’s determination that “atomization” is the key “exegetical” technique of </w:t>
      </w:r>
      <w:r>
        <w:rPr>
          <w:i/>
        </w:rPr>
        <w:t>pesher</w:t>
      </w:r>
      <w:r>
        <w:t>.</w:t>
      </w:r>
      <w:r>
        <w:rPr>
          <w:rStyle w:val="FootnoteReference"/>
        </w:rPr>
        <w:footnoteReference w:id="75"/>
      </w:r>
      <w:r>
        <w:t xml:space="preserve">  Elliger thereby denies the lemma any significance beyond its individual elements.  Nitzan, however, demonstrates the sensitivity of the </w:t>
      </w:r>
      <w:r>
        <w:rPr>
          <w:i/>
        </w:rPr>
        <w:t>pesher</w:t>
      </w:r>
      <w:r>
        <w:t xml:space="preserve"> to the literary structure of the lemma in 1QpHab.</w:t>
      </w:r>
      <w:r>
        <w:rPr>
          <w:rStyle w:val="FootnoteReference"/>
        </w:rPr>
        <w:footnoteReference w:id="76"/>
      </w:r>
      <w:r>
        <w:t xml:space="preserve">  To illustrate atomization, Elliger introduces the analogy of one who takes apart a mosaic and then uses the separate tiles to produce a totally new, independent mosaic of his own.  Elliger’s own depiction of </w:t>
      </w:r>
      <w:r>
        <w:rPr>
          <w:i/>
        </w:rPr>
        <w:t>pesher</w:t>
      </w:r>
      <w:r>
        <w:t>, however, less resembles a new mosaic than a collection of independent mosaics formed from the pieces of the fragmented original whole.</w:t>
      </w:r>
      <w:r>
        <w:rPr>
          <w:rStyle w:val="FootnoteReference"/>
        </w:rPr>
        <w:footnoteReference w:id="77"/>
      </w:r>
      <w:r>
        <w:t xml:space="preserve">  Nitzan demonstrates that the </w:t>
      </w:r>
      <w:r>
        <w:rPr>
          <w:i/>
        </w:rPr>
        <w:t>pesher</w:t>
      </w:r>
      <w:r>
        <w:t xml:space="preserve"> is a new organic structure in its own right, derived from the structure of its base-text.</w:t>
      </w:r>
      <w:r>
        <w:rPr>
          <w:rStyle w:val="FootnoteReference"/>
        </w:rPr>
        <w:footnoteReference w:id="78"/>
      </w:r>
      <w:r>
        <w:t xml:space="preserve">  This composition is the final product of the “inspired exegesis” of its author.</w:t>
      </w:r>
    </w:p>
    <w:p w:rsidR="00C71FD3" w:rsidRDefault="00C71FD3" w:rsidP="00C71FD3">
      <w:pPr>
        <w:spacing w:line="480" w:lineRule="auto"/>
      </w:pPr>
    </w:p>
    <w:p w:rsidR="00C71FD3" w:rsidRDefault="00C71FD3" w:rsidP="00C71FD3">
      <w:pPr>
        <w:spacing w:line="480" w:lineRule="auto"/>
        <w:jc w:val="center"/>
        <w:rPr>
          <w:b/>
        </w:rPr>
      </w:pPr>
      <w:r>
        <w:rPr>
          <w:b/>
        </w:rPr>
        <w:t>4. Motive</w:t>
      </w:r>
    </w:p>
    <w:p w:rsidR="00C71FD3" w:rsidRDefault="00C71FD3" w:rsidP="00C71FD3">
      <w:pPr>
        <w:spacing w:line="480" w:lineRule="auto"/>
      </w:pPr>
      <w:r>
        <w:lastRenderedPageBreak/>
        <w:t>The emergence of an appreciation of motive as a generic factor may largely be traced to the competing analyses of 4Q252 in the 1990’s.</w:t>
      </w:r>
      <w:r>
        <w:rPr>
          <w:rStyle w:val="FootnoteReference"/>
        </w:rPr>
        <w:footnoteReference w:id="79"/>
      </w:r>
      <w:r>
        <w:t xml:space="preserve">  Bernstein formulated an evaluative criterion from an exegetical perspective, separating “simple-sense exegesis” (</w:t>
      </w:r>
      <w:r>
        <w:rPr>
          <w:i/>
        </w:rPr>
        <w:t>peshat</w:t>
      </w:r>
      <w:r>
        <w:t>) from more tendentious interpretation.  He thus stressed the aim of the exegete in the classifying of exegetical texts.</w:t>
      </w:r>
      <w:r>
        <w:rPr>
          <w:rStyle w:val="FootnoteReference"/>
        </w:rPr>
        <w:footnoteReference w:id="80"/>
      </w:r>
      <w:r>
        <w:t xml:space="preserve">  In response, Brooke’s subsequent analysis of 4Q252 attempted to establish a “thematic purpose.”</w:t>
      </w:r>
      <w:r>
        <w:rPr>
          <w:rStyle w:val="FootnoteReference"/>
        </w:rPr>
        <w:t xml:space="preserve"> </w:t>
      </w:r>
      <w:r>
        <w:rPr>
          <w:rStyle w:val="FootnoteReference"/>
        </w:rPr>
        <w:footnoteReference w:id="81"/>
      </w:r>
      <w:r>
        <w:t xml:space="preserve">  This contrasted with Bernstein’s view that the goal of the composition was the resolution of textual difficulties.  The debate over the motivation of 4Q252 has served to emphasize by contrast the clear aims of the continuous </w:t>
      </w:r>
      <w:r>
        <w:rPr>
          <w:i/>
        </w:rPr>
        <w:t>pesharim</w:t>
      </w:r>
      <w:r>
        <w:t>: to identify biblical texts as referring to eschatologically significant historical events, thereby demonstrating and predicting fulfillments of biblical prophecy.</w:t>
      </w:r>
    </w:p>
    <w:p w:rsidR="00C71FD3" w:rsidRDefault="00C71FD3" w:rsidP="00C71FD3">
      <w:pPr>
        <w:spacing w:line="480" w:lineRule="auto"/>
        <w:ind w:firstLine="720"/>
      </w:pPr>
      <w:r>
        <w:t xml:space="preserve">Mandel’s distinction between the eschatological content of Qumran </w:t>
      </w:r>
      <w:r>
        <w:rPr>
          <w:i/>
        </w:rPr>
        <w:t xml:space="preserve">pesher </w:t>
      </w:r>
      <w:r>
        <w:t xml:space="preserve">and the historical content of the rabbinic </w:t>
      </w:r>
      <w:r>
        <w:rPr>
          <w:rFonts w:ascii="אילת" w:hAnsi="אילת" w:cs="אילת" w:hint="cs"/>
          <w:rtl/>
        </w:rPr>
        <w:t>עליו</w:t>
      </w:r>
      <w:r>
        <w:rPr>
          <w:rFonts w:ascii="אילת" w:hAnsi="אילת" w:hint="cs"/>
        </w:rPr>
        <w:t xml:space="preserve"> </w:t>
      </w:r>
      <w:r>
        <w:rPr>
          <w:rFonts w:ascii="אילת" w:hAnsi="אילת" w:cs="אילת" w:hint="cs"/>
          <w:rtl/>
        </w:rPr>
        <w:t>מפרש</w:t>
      </w:r>
      <w:r>
        <w:t xml:space="preserve"> led him to a radical conclusion regarding the motive of the </w:t>
      </w:r>
      <w:r>
        <w:rPr>
          <w:i/>
        </w:rPr>
        <w:t>tannaitic</w:t>
      </w:r>
      <w:r>
        <w:t xml:space="preserve"> authors of the latter.  He argues that the absence of eschatological figures and events in those </w:t>
      </w:r>
      <w:r>
        <w:rPr>
          <w:i/>
        </w:rPr>
        <w:t>tannaitic</w:t>
      </w:r>
      <w:r>
        <w:t xml:space="preserve"> passages reflects a conscious rabbinic opposition to the eschatological fulfillment interpretations of Qumran and early Christianity.</w:t>
      </w:r>
      <w:r>
        <w:rPr>
          <w:rStyle w:val="FootnoteReference"/>
        </w:rPr>
        <w:footnoteReference w:id="82"/>
      </w:r>
      <w:r>
        <w:t xml:space="preserve">  Mandel’s observations about these rabbinic forms and formulas dovetail well with an earlier proposal put </w:t>
      </w:r>
      <w:r>
        <w:lastRenderedPageBreak/>
        <w:t xml:space="preserve">forth by Silberman to the effect that Qumran </w:t>
      </w:r>
      <w:r>
        <w:rPr>
          <w:i/>
        </w:rPr>
        <w:t>pesher</w:t>
      </w:r>
      <w:r>
        <w:t xml:space="preserve"> was one stage in a developmental line running from Daniel to the rabbinic </w:t>
      </w:r>
      <w:r>
        <w:rPr>
          <w:i/>
        </w:rPr>
        <w:t>petira</w:t>
      </w:r>
      <w:r>
        <w:t>.</w:t>
      </w:r>
      <w:r>
        <w:rPr>
          <w:rStyle w:val="FootnoteReference"/>
        </w:rPr>
        <w:footnoteReference w:id="83"/>
      </w:r>
    </w:p>
    <w:p w:rsidR="00C71FD3" w:rsidRDefault="00C71FD3" w:rsidP="00C71FD3">
      <w:pPr>
        <w:spacing w:line="480" w:lineRule="auto"/>
        <w:ind w:firstLine="720"/>
      </w:pPr>
      <w:r>
        <w:t xml:space="preserve">The analyses of Silberman and Mandel may be combined as follows.  The book of Daniel, Qumran </w:t>
      </w:r>
      <w:r>
        <w:rPr>
          <w:i/>
        </w:rPr>
        <w:t>pesher</w:t>
      </w:r>
      <w:r>
        <w:t xml:space="preserve">, the tannaitic </w:t>
      </w:r>
      <w:r>
        <w:rPr>
          <w:rFonts w:ascii="אילת" w:hAnsi="אילת" w:cs="אילת" w:hint="cs"/>
          <w:rtl/>
        </w:rPr>
        <w:t>עליו</w:t>
      </w:r>
      <w:r>
        <w:rPr>
          <w:rFonts w:ascii="אילת" w:hAnsi="אילת" w:hint="cs"/>
        </w:rPr>
        <w:t xml:space="preserve"> </w:t>
      </w:r>
      <w:r>
        <w:rPr>
          <w:rFonts w:ascii="אילת" w:hAnsi="אילת" w:cs="אילת" w:hint="cs"/>
          <w:rtl/>
        </w:rPr>
        <w:t>מפרש</w:t>
      </w:r>
      <w:r>
        <w:t xml:space="preserve">, and the amoraic </w:t>
      </w:r>
      <w:r>
        <w:rPr>
          <w:i/>
        </w:rPr>
        <w:t xml:space="preserve">petira </w:t>
      </w:r>
      <w:r>
        <w:t xml:space="preserve">represent successive chronological developments of a basic exegetical approach.  All supply an “identification” or “specific reference” for a “text” of divine origin, using an explicit formula; and all evince a concern with historical content (apparently a necessary feature in the first three cases, and a frequent one in the last).  The “texts” in the later examples are biblical texts.  The identification in </w:t>
      </w:r>
      <w:r>
        <w:rPr>
          <w:rFonts w:ascii="אילת" w:hAnsi="אילת" w:cs="אילת" w:hint="cs"/>
          <w:rtl/>
        </w:rPr>
        <w:t>עליו</w:t>
      </w:r>
      <w:r>
        <w:rPr>
          <w:rFonts w:ascii="אילת" w:hAnsi="אילת" w:hint="cs"/>
        </w:rPr>
        <w:t xml:space="preserve"> </w:t>
      </w:r>
      <w:r>
        <w:rPr>
          <w:rFonts w:ascii="אילת" w:hAnsi="אילת" w:cs="אילת" w:hint="cs"/>
          <w:rtl/>
        </w:rPr>
        <w:t>מפרש</w:t>
      </w:r>
      <w:r>
        <w:t xml:space="preserve"> is never eschatological—by design, according to Mandel.  The content is restricted to the past.  The term </w:t>
      </w:r>
      <w:r>
        <w:rPr>
          <w:rFonts w:ascii="אילת" w:hAnsi="אילת" w:cs="אילת" w:hint="cs"/>
          <w:rtl/>
        </w:rPr>
        <w:t>פרש</w:t>
      </w:r>
      <w:r>
        <w:t xml:space="preserve"> indicates “specificity,” but avoids the connotation of “revelation” that is implied in the roots </w:t>
      </w:r>
      <w:r>
        <w:rPr>
          <w:rFonts w:ascii="אילת" w:hAnsi="אילת" w:cs="אילת" w:hint="cs"/>
          <w:rtl/>
        </w:rPr>
        <w:t>פשר</w:t>
      </w:r>
      <w:r>
        <w:t>/</w:t>
      </w:r>
      <w:r>
        <w:rPr>
          <w:rFonts w:ascii="אילת" w:hAnsi="אילת" w:cs="אילת" w:hint="cs"/>
          <w:rtl/>
        </w:rPr>
        <w:t>פתר</w:t>
      </w:r>
      <w:r>
        <w:t xml:space="preserve"> employed in the other three modes of exegesis.</w:t>
      </w:r>
      <w:r>
        <w:rPr>
          <w:rStyle w:val="FootnoteReference"/>
        </w:rPr>
        <w:footnoteReference w:id="84"/>
      </w:r>
      <w:r>
        <w:t xml:space="preserve">  Of these three other types, Qumran </w:t>
      </w:r>
      <w:r>
        <w:rPr>
          <w:i/>
        </w:rPr>
        <w:t>pesher</w:t>
      </w:r>
      <w:r>
        <w:t xml:space="preserve">, like Daniel, is characterized by eschatological content, while the rabbinic </w:t>
      </w:r>
      <w:r>
        <w:rPr>
          <w:i/>
        </w:rPr>
        <w:t>petira</w:t>
      </w:r>
      <w:r>
        <w:t xml:space="preserve"> exhibits variable content, including eschatology.</w:t>
      </w:r>
      <w:r>
        <w:rPr>
          <w:rStyle w:val="FootnoteReference"/>
        </w:rPr>
        <w:footnoteReference w:id="85"/>
      </w:r>
      <w:r>
        <w:t xml:space="preserve">  </w:t>
      </w:r>
    </w:p>
    <w:p w:rsidR="00C71FD3" w:rsidRDefault="00C71FD3" w:rsidP="00C71FD3">
      <w:pPr>
        <w:spacing w:line="480" w:lineRule="auto"/>
        <w:ind w:firstLine="432"/>
      </w:pPr>
      <w:r>
        <w:t xml:space="preserve">We would further propose that, in addition to the noted similarities in terminology, form, content, and purpose, Qumran </w:t>
      </w:r>
      <w:r>
        <w:rPr>
          <w:i/>
        </w:rPr>
        <w:t>pesher</w:t>
      </w:r>
      <w:r>
        <w:t xml:space="preserve"> and the amoraic </w:t>
      </w:r>
      <w:r>
        <w:rPr>
          <w:i/>
        </w:rPr>
        <w:t>petira</w:t>
      </w:r>
      <w:r>
        <w:t xml:space="preserve"> share another significant feature: a </w:t>
      </w:r>
      <w:r>
        <w:lastRenderedPageBreak/>
        <w:t>sense of the multivalence of biblical text.</w:t>
      </w:r>
      <w:r>
        <w:rPr>
          <w:rStyle w:val="FootnoteReference"/>
        </w:rPr>
        <w:footnoteReference w:id="86"/>
      </w:r>
      <w:r>
        <w:t xml:space="preserve">  Whereas the </w:t>
      </w:r>
      <w:r>
        <w:rPr>
          <w:i/>
        </w:rPr>
        <w:t>tannaitic</w:t>
      </w:r>
      <w:r>
        <w:t xml:space="preserve"> </w:t>
      </w:r>
      <w:r>
        <w:rPr>
          <w:rFonts w:ascii="אילת" w:hAnsi="אילת" w:cs="אילת" w:hint="cs"/>
          <w:rtl/>
        </w:rPr>
        <w:t>עליו</w:t>
      </w:r>
      <w:r>
        <w:rPr>
          <w:rFonts w:ascii="אילת" w:hAnsi="אילת" w:hint="cs"/>
        </w:rPr>
        <w:t xml:space="preserve"> </w:t>
      </w:r>
      <w:r>
        <w:rPr>
          <w:rFonts w:ascii="אילת" w:hAnsi="אילת" w:cs="אילת" w:hint="cs"/>
          <w:rtl/>
        </w:rPr>
        <w:t>מפרש</w:t>
      </w:r>
      <w:r>
        <w:t xml:space="preserve"> sought to provide the literal meaning of a univalent biblical text,</w:t>
      </w:r>
      <w:r>
        <w:rPr>
          <w:rStyle w:val="FootnoteReference"/>
        </w:rPr>
        <w:footnoteReference w:id="87"/>
      </w:r>
      <w:r>
        <w:t xml:space="preserve"> and early Christian contemporizing exegesis provided allegorical interpretations of a biblical text that was viewed as devoid of literal meaning, Qumran </w:t>
      </w:r>
      <w:r>
        <w:rPr>
          <w:i/>
        </w:rPr>
        <w:t>pesher</w:t>
      </w:r>
      <w:r>
        <w:t xml:space="preserve"> and the amoraic </w:t>
      </w:r>
      <w:r>
        <w:rPr>
          <w:i/>
        </w:rPr>
        <w:t>petira</w:t>
      </w:r>
      <w:r>
        <w:t xml:space="preserve"> would have operated on the assumption of a multivalent biblical text possessing both literal and non-literal meanings.</w:t>
      </w:r>
      <w:r>
        <w:rPr>
          <w:rStyle w:val="FootnoteReference"/>
        </w:rPr>
        <w:footnoteReference w:id="88"/>
      </w:r>
    </w:p>
    <w:p w:rsidR="00C71FD3" w:rsidRDefault="00C71FD3" w:rsidP="00C71FD3">
      <w:pPr>
        <w:spacing w:after="240" w:line="480" w:lineRule="auto"/>
        <w:ind w:firstLine="432"/>
      </w:pPr>
      <w:r>
        <w:t xml:space="preserve">This understanding of </w:t>
      </w:r>
      <w:r>
        <w:rPr>
          <w:i/>
        </w:rPr>
        <w:t>pesher</w:t>
      </w:r>
      <w:r>
        <w:t xml:space="preserve"> would be consistent with what is known about the Qumran Community’s approach to </w:t>
      </w:r>
      <w:r>
        <w:rPr>
          <w:i/>
        </w:rPr>
        <w:t>halakhic</w:t>
      </w:r>
      <w:r>
        <w:t xml:space="preserve"> exegesis.  At Qumran, </w:t>
      </w:r>
      <w:r>
        <w:rPr>
          <w:i/>
        </w:rPr>
        <w:t>halakha</w:t>
      </w:r>
      <w:r>
        <w:t xml:space="preserve"> is seen as two-fold, with the </w:t>
      </w:r>
      <w:r>
        <w:rPr>
          <w:i/>
        </w:rPr>
        <w:t>nigleh</w:t>
      </w:r>
      <w:r>
        <w:t xml:space="preserve"> and the </w:t>
      </w:r>
      <w:r>
        <w:rPr>
          <w:i/>
        </w:rPr>
        <w:t>nistar</w:t>
      </w:r>
      <w:r>
        <w:t xml:space="preserve"> both firmly rooted in the Hebrew Bible, each in its own way.</w:t>
      </w:r>
      <w:r>
        <w:rPr>
          <w:rStyle w:val="FootnoteReference"/>
        </w:rPr>
        <w:footnoteReference w:id="89"/>
      </w:r>
      <w:r>
        <w:t xml:space="preserve">  We maintain that the working hypothesis for Qumran historical exegesis should suppose a similar duality.</w:t>
      </w:r>
      <w:r>
        <w:rPr>
          <w:rStyle w:val="FootnoteReference"/>
        </w:rPr>
        <w:footnoteReference w:id="90"/>
      </w:r>
      <w:r>
        <w:t xml:space="preserve">  Thus, the exoteric sense of the prophetic base-text (analogous to the </w:t>
      </w:r>
      <w:r>
        <w:rPr>
          <w:i/>
        </w:rPr>
        <w:t>halakhic</w:t>
      </w:r>
      <w:r>
        <w:t xml:space="preserve"> “</w:t>
      </w:r>
      <w:r>
        <w:rPr>
          <w:i/>
        </w:rPr>
        <w:t>nigleh</w:t>
      </w:r>
      <w:r>
        <w:t>”) pertained to the original context of the monarchic period, while the more significant esoteric meaning (analogous to the “</w:t>
      </w:r>
      <w:r>
        <w:rPr>
          <w:i/>
        </w:rPr>
        <w:t>nistar</w:t>
      </w:r>
      <w:r>
        <w:t>”) referred to the contemporary eschatological situation.  The text itself could be appreciated as a sort of “</w:t>
      </w:r>
      <w:r>
        <w:rPr>
          <w:i/>
        </w:rPr>
        <w:t>nigleh</w:t>
      </w:r>
      <w:r>
        <w:t>,”</w:t>
      </w:r>
      <w:r>
        <w:rPr>
          <w:rStyle w:val="FootnoteReference"/>
        </w:rPr>
        <w:footnoteReference w:id="91"/>
      </w:r>
      <w:r>
        <w:t xml:space="preserve"> though the aim of </w:t>
      </w:r>
      <w:r>
        <w:rPr>
          <w:i/>
        </w:rPr>
        <w:t>pesher</w:t>
      </w:r>
      <w:r>
        <w:t xml:space="preserve"> </w:t>
      </w:r>
      <w:r>
        <w:lastRenderedPageBreak/>
        <w:t>was to uncover the mystery, or “</w:t>
      </w:r>
      <w:r>
        <w:rPr>
          <w:i/>
        </w:rPr>
        <w:t>raz</w:t>
      </w:r>
      <w:r>
        <w:t>”—the truth that was concealed in the prophetic text (1QpHab 7:4-5).</w:t>
      </w:r>
      <w:r>
        <w:rPr>
          <w:rStyle w:val="FootnoteReference"/>
        </w:rPr>
        <w:footnoteReference w:id="92"/>
      </w:r>
    </w:p>
    <w:p w:rsidR="00C71FD3" w:rsidRDefault="00C71FD3" w:rsidP="00C71FD3">
      <w:pPr>
        <w:spacing w:after="240" w:line="480" w:lineRule="auto"/>
        <w:ind w:firstLine="432"/>
      </w:pPr>
      <w:r>
        <w:t xml:space="preserve">Although “motive” is rarely viewed as a “generic factor,” it may be the key to the most informative description of </w:t>
      </w:r>
      <w:r>
        <w:rPr>
          <w:i/>
        </w:rPr>
        <w:t>pesher</w:t>
      </w:r>
      <w:r>
        <w:t xml:space="preserve">.  After all, the </w:t>
      </w:r>
      <w:r>
        <w:rPr>
          <w:i/>
        </w:rPr>
        <w:t>identifying form</w:t>
      </w:r>
      <w:r>
        <w:t xml:space="preserve"> of </w:t>
      </w:r>
      <w:r>
        <w:rPr>
          <w:i/>
        </w:rPr>
        <w:t>pesher</w:t>
      </w:r>
      <w:r>
        <w:t xml:space="preserve">, its sectarian contemporizing </w:t>
      </w:r>
      <w:r>
        <w:rPr>
          <w:i/>
        </w:rPr>
        <w:t>eschatological content</w:t>
      </w:r>
      <w:r>
        <w:t xml:space="preserve">, and the conception of </w:t>
      </w:r>
      <w:r>
        <w:rPr>
          <w:i/>
        </w:rPr>
        <w:t>inspired exegesis</w:t>
      </w:r>
      <w:r>
        <w:t xml:space="preserve"> inherent in its production are all means to a particular end.  Each of these factors is essential for the maximal achievement of authorial motive: the communication of the theologically significant truth latent in the selected biblical base-text.</w:t>
      </w:r>
    </w:p>
    <w:sectPr w:rsidR="00C71F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6B8" w:rsidRDefault="00B546B8" w:rsidP="00C71FD3">
      <w:r>
        <w:separator/>
      </w:r>
    </w:p>
  </w:endnote>
  <w:endnote w:type="continuationSeparator" w:id="0">
    <w:p w:rsidR="00B546B8" w:rsidRDefault="00B546B8" w:rsidP="00C7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אילת">
    <w:altName w:val="Courier New"/>
    <w:charset w:val="53"/>
    <w:family w:val="auto"/>
    <w:pitch w:val="variable"/>
    <w:sig w:usb0="00000000" w:usb1="00000000" w:usb2="00000000" w:usb3="00000000" w:csb0="00000020" w:csb1="00000000"/>
  </w:font>
  <w:font w:name="Semitic">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6B8" w:rsidRDefault="00B546B8" w:rsidP="00C71FD3">
      <w:r>
        <w:separator/>
      </w:r>
    </w:p>
  </w:footnote>
  <w:footnote w:type="continuationSeparator" w:id="0">
    <w:p w:rsidR="00B546B8" w:rsidRDefault="00B546B8" w:rsidP="00C71FD3">
      <w:r>
        <w:continuationSeparator/>
      </w:r>
    </w:p>
  </w:footnote>
  <w:footnote w:id="1">
    <w:p w:rsidR="00C71FD3" w:rsidRDefault="00C71FD3" w:rsidP="00C71FD3">
      <w:pPr>
        <w:pStyle w:val="FootnoteText"/>
        <w:spacing w:line="240" w:lineRule="auto"/>
        <w:ind w:firstLine="260"/>
        <w:jc w:val="left"/>
        <w:rPr>
          <w:sz w:val="22"/>
        </w:rPr>
      </w:pPr>
      <w:r>
        <w:rPr>
          <w:rStyle w:val="FootnoteReference"/>
          <w:sz w:val="22"/>
        </w:rPr>
        <w:footnoteRef/>
      </w:r>
      <w:r>
        <w:rPr>
          <w:sz w:val="22"/>
        </w:rPr>
        <w:t>Here, I follow upon the approach of George Brooke, who categorized the various positions of scholars on the definition of “</w:t>
      </w:r>
      <w:r>
        <w:rPr>
          <w:i/>
          <w:sz w:val="22"/>
        </w:rPr>
        <w:t>pesher</w:t>
      </w:r>
      <w:r>
        <w:rPr>
          <w:sz w:val="22"/>
        </w:rPr>
        <w:t xml:space="preserve">” in his “Qumran Pesher: Toward the Re-definition of a Genre,” </w:t>
      </w:r>
      <w:r>
        <w:rPr>
          <w:i/>
          <w:sz w:val="22"/>
        </w:rPr>
        <w:t>RevQ</w:t>
      </w:r>
      <w:r>
        <w:rPr>
          <w:sz w:val="22"/>
        </w:rPr>
        <w:t xml:space="preserve"> 10 (1981) 483-503.  Brooke endeavored to determine what constitutes a “genre” as a pre-requisite to determining what the nature of a particular genre is  (cf. W. H. Brownlee’s comment regarding “the question as to which is the more basic distinction, literary form or mode of exegesis”, in “Biblical Interpretation among the Sectaries of the Dead Sea Scrolls,” </w:t>
      </w:r>
      <w:r>
        <w:rPr>
          <w:i/>
          <w:sz w:val="22"/>
        </w:rPr>
        <w:t>Biblical Archaeologist</w:t>
      </w:r>
      <w:r>
        <w:rPr>
          <w:sz w:val="22"/>
        </w:rPr>
        <w:t xml:space="preserve"> 14 [1951] 54-76, p. 76).  In his study, Brooke suggested a hierarchical model for the formulation of a generic definition of </w:t>
      </w:r>
      <w:r>
        <w:rPr>
          <w:i/>
          <w:sz w:val="22"/>
        </w:rPr>
        <w:t>pesher</w:t>
      </w:r>
      <w:r>
        <w:rPr>
          <w:sz w:val="22"/>
        </w:rPr>
        <w:t xml:space="preserve">: (1) form and content are both inseparable “primary factors”; (2) “secondary factors” revolve around method, and (3) literary tradition provides a context for classification (491-94.  See also, his </w:t>
      </w:r>
      <w:r>
        <w:rPr>
          <w:i/>
          <w:sz w:val="22"/>
        </w:rPr>
        <w:t>Exegesis at Qumran: 4QFlorilegium in Its Jewish Context</w:t>
      </w:r>
      <w:r>
        <w:rPr>
          <w:sz w:val="22"/>
        </w:rPr>
        <w:t xml:space="preserve"> [JSOTSup 29; Sheffield: JSOTSup 29, 1985], 149-56).  Our own approach in this chapter is more descriptive than prescriptive, and is more integrative than hierarchical; I also add “motive” as a separate element.  Mandel employs similar categories of form, content/intent, and exegetical stance/hermeneutical methods in his comparison of Qumranic and rabbinic exegesis in “Midrashic Exegesis and Its Precedents,” </w:t>
      </w:r>
      <w:r>
        <w:rPr>
          <w:i/>
          <w:sz w:val="22"/>
        </w:rPr>
        <w:t xml:space="preserve">DSD </w:t>
      </w:r>
      <w:r>
        <w:rPr>
          <w:sz w:val="22"/>
        </w:rPr>
        <w:t>8:2 (2001) 149-68; see esp. 158.</w:t>
      </w:r>
    </w:p>
  </w:footnote>
  <w:footnote w:id="2">
    <w:p w:rsidR="00C71FD3" w:rsidRDefault="00C71FD3" w:rsidP="00C71FD3">
      <w:pPr>
        <w:ind w:right="90" w:firstLine="26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“Le Document de Qumrân sur Melkisédek,” </w:t>
      </w:r>
      <w:r>
        <w:rPr>
          <w:rFonts w:ascii="Times New Roman" w:hAnsi="Times New Roman"/>
          <w:i/>
          <w:sz w:val="22"/>
        </w:rPr>
        <w:t>RevQ</w:t>
      </w:r>
      <w:r>
        <w:rPr>
          <w:rFonts w:ascii="Times New Roman" w:hAnsi="Times New Roman"/>
          <w:sz w:val="22"/>
        </w:rPr>
        <w:t xml:space="preserve"> 7 (1969-71) 361.</w:t>
      </w:r>
    </w:p>
  </w:footnote>
  <w:footnote w:id="3">
    <w:p w:rsidR="00C71FD3" w:rsidRDefault="00C71FD3" w:rsidP="00C71FD3">
      <w:pPr>
        <w:pStyle w:val="FootnoteText"/>
        <w:spacing w:line="240" w:lineRule="auto"/>
        <w:ind w:firstLine="260"/>
        <w:jc w:val="left"/>
        <w:rPr>
          <w:sz w:val="22"/>
        </w:rPr>
      </w:pPr>
      <w:r>
        <w:rPr>
          <w:rStyle w:val="FootnoteReference"/>
          <w:sz w:val="22"/>
        </w:rPr>
        <w:footnoteRef/>
      </w:r>
      <w:r>
        <w:rPr>
          <w:sz w:val="22"/>
        </w:rPr>
        <w:t xml:space="preserve"> M. P. Horgan, </w:t>
      </w:r>
      <w:r>
        <w:rPr>
          <w:i/>
          <w:sz w:val="22"/>
        </w:rPr>
        <w:t>Pesharim:Qumran Interpretations of Biblical Books</w:t>
      </w:r>
      <w:r>
        <w:rPr>
          <w:sz w:val="22"/>
        </w:rPr>
        <w:t xml:space="preserve"> (CBQMS 8; Washington, DC: Catholic Biblical Association, 1979).  On the additional works 3Q4, 4Q168, and 5Q10, listed as, respectively, “3QpIsa,” “4QpMic?” and “5QpMal?” by F. García Martínez  and E. J. C. Tigchelaar, </w:t>
      </w:r>
      <w:r>
        <w:rPr>
          <w:i/>
          <w:sz w:val="22"/>
        </w:rPr>
        <w:t>The Dead Sea Scrolls Study Edition</w:t>
      </w:r>
      <w:r>
        <w:rPr>
          <w:sz w:val="22"/>
        </w:rPr>
        <w:t xml:space="preserve"> (Leiden: Brill, 1998); see Horgan, 260-66, and G. L. Doudna, </w:t>
      </w:r>
      <w:r>
        <w:rPr>
          <w:i/>
          <w:sz w:val="22"/>
        </w:rPr>
        <w:t>4Q Pesher Nahum: A Critical Edition</w:t>
      </w:r>
      <w:r>
        <w:rPr>
          <w:sz w:val="22"/>
        </w:rPr>
        <w:t xml:space="preserve"> (London: Sheffield Academic Press, 2001), 25.</w:t>
      </w:r>
    </w:p>
  </w:footnote>
  <w:footnote w:id="4">
    <w:p w:rsidR="00C71FD3" w:rsidRDefault="00C71FD3" w:rsidP="00C71FD3">
      <w:pPr>
        <w:pStyle w:val="FootnoteText"/>
        <w:spacing w:line="240" w:lineRule="auto"/>
        <w:ind w:firstLine="260"/>
        <w:jc w:val="left"/>
        <w:rPr>
          <w:sz w:val="22"/>
        </w:rPr>
      </w:pPr>
      <w:r>
        <w:rPr>
          <w:rStyle w:val="FootnoteReference"/>
          <w:sz w:val="22"/>
        </w:rPr>
        <w:footnoteRef/>
      </w:r>
      <w:r>
        <w:rPr>
          <w:sz w:val="22"/>
        </w:rPr>
        <w:t xml:space="preserve"> This term was also coined by Carmignac (</w:t>
      </w:r>
      <w:r>
        <w:rPr>
          <w:i/>
          <w:sz w:val="22"/>
        </w:rPr>
        <w:t>ibid.</w:t>
      </w:r>
      <w:r>
        <w:rPr>
          <w:sz w:val="22"/>
        </w:rPr>
        <w:t>), in application to</w:t>
      </w:r>
      <w:r>
        <w:rPr>
          <w:i/>
          <w:sz w:val="22"/>
        </w:rPr>
        <w:t xml:space="preserve"> </w:t>
      </w:r>
      <w:r>
        <w:rPr>
          <w:sz w:val="22"/>
        </w:rPr>
        <w:t>4QCatena</w:t>
      </w:r>
      <w:r>
        <w:rPr>
          <w:sz w:val="22"/>
          <w:vertAlign w:val="superscript"/>
        </w:rPr>
        <w:t xml:space="preserve">a </w:t>
      </w:r>
      <w:r>
        <w:rPr>
          <w:sz w:val="22"/>
        </w:rPr>
        <w:t xml:space="preserve">(177), 4Qflorilegium (174) and 11Qmelchizedek (13), which are systematic applications of </w:t>
      </w:r>
      <w:r>
        <w:rPr>
          <w:i/>
          <w:sz w:val="22"/>
        </w:rPr>
        <w:t>pesher</w:t>
      </w:r>
      <w:r>
        <w:rPr>
          <w:sz w:val="22"/>
        </w:rPr>
        <w:t xml:space="preserve">-like methodology to verses of distinct works.  Like the continuous pesharim, these compositions contain eschatological applications of cited biblical texts, and they feature introductory formulae, some of which include the word </w:t>
      </w:r>
      <w:r>
        <w:rPr>
          <w:i/>
          <w:sz w:val="22"/>
        </w:rPr>
        <w:t>pesher</w:t>
      </w:r>
      <w:r>
        <w:rPr>
          <w:sz w:val="22"/>
        </w:rPr>
        <w:t>.  However, the texts are selected from a number of biblical sources, rather than sequentially following a particular biblical work.</w:t>
      </w:r>
    </w:p>
    <w:p w:rsidR="00C71FD3" w:rsidRDefault="00C71FD3" w:rsidP="00C71FD3">
      <w:pPr>
        <w:pStyle w:val="FootnoteText"/>
        <w:spacing w:line="240" w:lineRule="auto"/>
        <w:ind w:firstLine="0"/>
        <w:jc w:val="left"/>
        <w:rPr>
          <w:sz w:val="22"/>
        </w:rPr>
      </w:pPr>
      <w:r>
        <w:rPr>
          <w:sz w:val="22"/>
        </w:rPr>
        <w:t>A. Steudel has identified 4QFlor and 4QCat</w:t>
      </w:r>
      <w:r>
        <w:rPr>
          <w:sz w:val="22"/>
          <w:vertAlign w:val="superscript"/>
        </w:rPr>
        <w:t>a</w:t>
      </w:r>
      <w:r>
        <w:rPr>
          <w:sz w:val="22"/>
        </w:rPr>
        <w:t xml:space="preserve"> as two copies of a single composition, and re-named them as “4QMidrash Eschatologie</w:t>
      </w:r>
      <w:r>
        <w:rPr>
          <w:sz w:val="22"/>
          <w:vertAlign w:val="superscript"/>
        </w:rPr>
        <w:t>a,b</w:t>
      </w:r>
      <w:r>
        <w:rPr>
          <w:sz w:val="22"/>
        </w:rPr>
        <w:t xml:space="preserve">.”  She classifies this work with 11QMelch as “thematic midrash” rather than thematic </w:t>
      </w:r>
      <w:r>
        <w:rPr>
          <w:i/>
          <w:sz w:val="22"/>
        </w:rPr>
        <w:t>pesher</w:t>
      </w:r>
      <w:r>
        <w:rPr>
          <w:sz w:val="22"/>
        </w:rPr>
        <w:t>.  (</w:t>
      </w:r>
      <w:r>
        <w:rPr>
          <w:i/>
          <w:sz w:val="22"/>
        </w:rPr>
        <w:t xml:space="preserve">Der Midrasch zur Eschatologie aus der Qumrangemeinde </w:t>
      </w:r>
      <w:r>
        <w:rPr>
          <w:sz w:val="22"/>
        </w:rPr>
        <w:t>[</w:t>
      </w:r>
      <w:r>
        <w:rPr>
          <w:i/>
          <w:sz w:val="22"/>
        </w:rPr>
        <w:t>4QMidrEschat</w:t>
      </w:r>
      <w:r>
        <w:rPr>
          <w:i/>
          <w:sz w:val="22"/>
          <w:vertAlign w:val="superscript"/>
        </w:rPr>
        <w:t>a,b</w:t>
      </w:r>
      <w:r>
        <w:rPr>
          <w:sz w:val="22"/>
        </w:rPr>
        <w:t xml:space="preserve">], Leiden: Brill, 1994.  See Brooke’s earlier inclination in this direction, “Qumran Pesher,” 501-03.)  Although Steudel’s important work on these texts is very useful, it must be noted that some new problems are posed by the nomenclature and some of the criteria for classification.  The term “midrash,” perhaps even more than the term </w:t>
      </w:r>
      <w:r>
        <w:rPr>
          <w:i/>
          <w:sz w:val="22"/>
        </w:rPr>
        <w:t>pesher</w:t>
      </w:r>
      <w:r>
        <w:rPr>
          <w:sz w:val="22"/>
        </w:rPr>
        <w:t xml:space="preserve">, is in need of more precise definition rather than ever wider application.  Moreover, Steudel’s classification of 4Q252 and 4Q176Tanhumim as thematic midrash (185-87) overlooks the significant distinction between the multiplicity of biblical base-texts in 4Q177, 4Q182, 4Q183, and 11QMelch, as opposed to the specific selection of Genesis in 4Q252 and the primacy of Deutero-Isaiah in 4Q176.  In 4Q252, the author’s “thematic control” is limited by the selected base-text.  4Q176 does exhibit thematic selection, but the best-preserved portion of the work primarily consists of excerpts from, rather than interpretation of, sequential passages in Deutero-Isaiah.  Cf. C. D. Stanley, “The Importance of 4QTanhumim (4Q176),” </w:t>
      </w:r>
      <w:r>
        <w:rPr>
          <w:i/>
          <w:sz w:val="22"/>
        </w:rPr>
        <w:t>RevQ</w:t>
      </w:r>
      <w:r>
        <w:rPr>
          <w:sz w:val="22"/>
        </w:rPr>
        <w:t xml:space="preserve"> 15/60 (1992) 569-82.</w:t>
      </w:r>
    </w:p>
  </w:footnote>
  <w:footnote w:id="5">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Cf. G. Vermes, “Interpretation, History of,” Keith R. Crim, et al., ed., </w:t>
      </w:r>
      <w:r>
        <w:rPr>
          <w:i/>
          <w:sz w:val="22"/>
        </w:rPr>
        <w:t>Interpreter’s Dictionary of the Bible</w:t>
      </w:r>
      <w:r>
        <w:rPr>
          <w:sz w:val="22"/>
        </w:rPr>
        <w:t xml:space="preserve"> (Supplementary vol.; Nashville: Abingdon: 1976), 439; J. A. Fitzmyer, “The Use of Explicit Old Testament Quotations in Qumran Literature and in the New Testament,” in idem, </w:t>
      </w:r>
      <w:r>
        <w:rPr>
          <w:i/>
          <w:sz w:val="22"/>
        </w:rPr>
        <w:t>Essays on the Semitic Background of the New Testament</w:t>
      </w:r>
      <w:r>
        <w:rPr>
          <w:sz w:val="22"/>
        </w:rPr>
        <w:t xml:space="preserve"> (Society of Biblical Literature; Missoula: Scholar’s Press, 1974), 3-58, revised from </w:t>
      </w:r>
      <w:r>
        <w:rPr>
          <w:i/>
          <w:sz w:val="22"/>
        </w:rPr>
        <w:t>NTS</w:t>
      </w:r>
      <w:r>
        <w:rPr>
          <w:sz w:val="22"/>
        </w:rPr>
        <w:t xml:space="preserve"> 7 (1960-61) 297-333; and D. Dimant, “Pesharim,” </w:t>
      </w:r>
      <w:r>
        <w:rPr>
          <w:i/>
          <w:sz w:val="22"/>
        </w:rPr>
        <w:t>ABD</w:t>
      </w:r>
      <w:r>
        <w:rPr>
          <w:sz w:val="22"/>
        </w:rPr>
        <w:t xml:space="preserve">, 248.  Particularly challenging to attempts at classification are isolated instances of </w:t>
      </w:r>
      <w:r>
        <w:rPr>
          <w:i/>
          <w:sz w:val="22"/>
        </w:rPr>
        <w:t>pesher</w:t>
      </w:r>
      <w:r>
        <w:rPr>
          <w:sz w:val="22"/>
        </w:rPr>
        <w:t>-like exegesis that do not use the word “</w:t>
      </w:r>
      <w:r>
        <w:rPr>
          <w:i/>
          <w:sz w:val="22"/>
        </w:rPr>
        <w:t>pesher</w:t>
      </w:r>
      <w:r>
        <w:rPr>
          <w:sz w:val="22"/>
        </w:rPr>
        <w:t xml:space="preserve">” at all, such as CD 7:15-20; 1QS 5:15-17, 8:14-16; 1QM 11:11-12.  (On the converse, isolated cases of the use of the </w:t>
      </w:r>
      <w:r>
        <w:rPr>
          <w:i/>
          <w:sz w:val="22"/>
        </w:rPr>
        <w:t>pesher</w:t>
      </w:r>
      <w:r>
        <w:rPr>
          <w:sz w:val="22"/>
        </w:rPr>
        <w:t xml:space="preserve"> formula, which do not seem “</w:t>
      </w:r>
      <w:r>
        <w:rPr>
          <w:i/>
          <w:sz w:val="22"/>
        </w:rPr>
        <w:t>pesher</w:t>
      </w:r>
      <w:r>
        <w:rPr>
          <w:sz w:val="22"/>
        </w:rPr>
        <w:t>-like” in content, technique, or motive, see below, n. 47)</w:t>
      </w:r>
    </w:p>
  </w:footnote>
  <w:footnote w:id="6">
    <w:p w:rsidR="00C71FD3" w:rsidRDefault="00C71FD3" w:rsidP="00C71FD3">
      <w:pPr>
        <w:ind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For comprehensive discussions of standard </w:t>
      </w:r>
      <w:r>
        <w:rPr>
          <w:rFonts w:ascii="Times New Roman" w:hAnsi="Times New Roman"/>
          <w:i/>
          <w:sz w:val="22"/>
        </w:rPr>
        <w:t>pesher</w:t>
      </w:r>
      <w:r>
        <w:rPr>
          <w:rFonts w:ascii="Times New Roman" w:hAnsi="Times New Roman"/>
          <w:sz w:val="22"/>
        </w:rPr>
        <w:t xml:space="preserve"> structures and citation formulas and their variations, see Horgan, </w:t>
      </w:r>
      <w:r>
        <w:rPr>
          <w:rFonts w:ascii="Times New Roman" w:hAnsi="Times New Roman"/>
          <w:i/>
          <w:sz w:val="22"/>
        </w:rPr>
        <w:t>Pesharim</w:t>
      </w:r>
      <w:r>
        <w:rPr>
          <w:rFonts w:ascii="Times New Roman" w:hAnsi="Times New Roman"/>
          <w:sz w:val="22"/>
        </w:rPr>
        <w:t>, 239-44; Brooke, “Qumran Pesher,” 497-501; B. Nitzan,</w:t>
      </w:r>
      <w:r>
        <w:rPr>
          <w:rFonts w:ascii="אילת" w:hAnsi="אילת" w:cs="אילת" w:hint="cs"/>
          <w:sz w:val="22"/>
          <w:szCs w:val="22"/>
          <w:rtl/>
        </w:rPr>
        <w:t>מגילת</w:t>
      </w:r>
      <w:r>
        <w:rPr>
          <w:rFonts w:ascii="אילת" w:hAnsi="אילת" w:hint="cs"/>
          <w:sz w:val="22"/>
        </w:rPr>
        <w:t xml:space="preserve"> </w:t>
      </w:r>
      <w:r>
        <w:rPr>
          <w:rFonts w:ascii="אילת" w:hAnsi="אילת" w:cs="אילת" w:hint="cs"/>
          <w:sz w:val="22"/>
          <w:szCs w:val="22"/>
          <w:rtl/>
        </w:rPr>
        <w:t>פשר</w:t>
      </w:r>
      <w:r>
        <w:rPr>
          <w:rFonts w:ascii="אילת" w:hAnsi="אילת" w:hint="cs"/>
          <w:sz w:val="22"/>
        </w:rPr>
        <w:t xml:space="preserve"> </w:t>
      </w:r>
      <w:r>
        <w:rPr>
          <w:rFonts w:ascii="אילת" w:hAnsi="אילת" w:cs="אילת" w:hint="cs"/>
          <w:sz w:val="22"/>
          <w:szCs w:val="22"/>
          <w:rtl/>
        </w:rPr>
        <w:t>חבקוק</w:t>
      </w:r>
      <w:r>
        <w:rPr>
          <w:rFonts w:ascii="Times New Roman" w:hAnsi="Times New Roman"/>
          <w:sz w:val="22"/>
        </w:rPr>
        <w:t xml:space="preserve"> (</w:t>
      </w:r>
      <w:r>
        <w:rPr>
          <w:rFonts w:ascii="Times New Roman" w:hAnsi="Times New Roman"/>
          <w:i/>
          <w:sz w:val="22"/>
        </w:rPr>
        <w:t>1QpHab</w:t>
      </w:r>
      <w:r>
        <w:rPr>
          <w:rFonts w:ascii="Times New Roman" w:hAnsi="Times New Roman"/>
          <w:sz w:val="22"/>
        </w:rPr>
        <w:t xml:space="preserve">), (Jerusalem: Mosad Bialik, 1986), 81-89; and M. J. Bernstein, “Introductory Formulas for Citation and Re-citation of Biblical Verses in the Qumran Pesharim: Observations on a Pesher Technique,” </w:t>
      </w:r>
      <w:r>
        <w:rPr>
          <w:rFonts w:ascii="Times New Roman" w:hAnsi="Times New Roman"/>
          <w:i/>
          <w:sz w:val="22"/>
        </w:rPr>
        <w:t>DSD</w:t>
      </w:r>
      <w:r>
        <w:rPr>
          <w:rFonts w:ascii="Times New Roman" w:hAnsi="Times New Roman"/>
          <w:sz w:val="22"/>
        </w:rPr>
        <w:t xml:space="preserve"> 1 (1994) 30-70.  See also, F. L. Horton, Jr., “Formulas of Introduction in the Qumran Literature,” </w:t>
      </w:r>
      <w:r>
        <w:rPr>
          <w:rFonts w:ascii="Times New Roman" w:hAnsi="Times New Roman"/>
          <w:i/>
          <w:sz w:val="22"/>
        </w:rPr>
        <w:t>RevQ</w:t>
      </w:r>
      <w:r>
        <w:rPr>
          <w:rFonts w:ascii="Times New Roman" w:hAnsi="Times New Roman"/>
          <w:sz w:val="22"/>
        </w:rPr>
        <w:t xml:space="preserve"> 7 (1971) 505-14 and I. Rabinowitz, “</w:t>
      </w:r>
      <w:r>
        <w:rPr>
          <w:rFonts w:ascii="Times New Roman" w:hAnsi="Times New Roman"/>
          <w:i/>
          <w:sz w:val="22"/>
        </w:rPr>
        <w:t>Pêsher/Pittârôn.</w:t>
      </w:r>
      <w:r>
        <w:rPr>
          <w:rFonts w:ascii="Times New Roman" w:hAnsi="Times New Roman"/>
          <w:sz w:val="22"/>
        </w:rPr>
        <w:t xml:space="preserve"> Its Biblical Meaning and its Significance in the Qumran Literature,” </w:t>
      </w:r>
      <w:r>
        <w:rPr>
          <w:rFonts w:ascii="Times New Roman" w:hAnsi="Times New Roman"/>
          <w:i/>
          <w:sz w:val="22"/>
        </w:rPr>
        <w:t>RevQ</w:t>
      </w:r>
      <w:r>
        <w:rPr>
          <w:rFonts w:ascii="Times New Roman" w:hAnsi="Times New Roman"/>
          <w:sz w:val="22"/>
        </w:rPr>
        <w:t xml:space="preserve"> 8 (1973) 226-30.  For other forms of explicit biblical citations at Qumran, see Fitzmyer, “The Use of Explicit Old Testament Quotations.” L. H. Silberman, observing that the introductory “formula” may be so simple as a demonstrative pronoun, determined that the use of the word “</w:t>
      </w:r>
      <w:r>
        <w:rPr>
          <w:rFonts w:ascii="Times New Roman" w:hAnsi="Times New Roman"/>
          <w:i/>
          <w:sz w:val="22"/>
        </w:rPr>
        <w:t>pesher</w:t>
      </w:r>
      <w:r>
        <w:rPr>
          <w:rFonts w:ascii="Times New Roman" w:hAnsi="Times New Roman"/>
          <w:sz w:val="22"/>
        </w:rPr>
        <w:t>” should not be viewed as an essential generic feature</w:t>
      </w:r>
      <w:r>
        <w:rPr>
          <w:rFonts w:ascii="Times New Roman" w:hAnsi="Times New Roman"/>
          <w:i/>
          <w:sz w:val="22"/>
        </w:rPr>
        <w:t xml:space="preserve"> </w:t>
      </w:r>
      <w:r>
        <w:rPr>
          <w:rFonts w:ascii="Times New Roman" w:hAnsi="Times New Roman"/>
          <w:sz w:val="22"/>
        </w:rPr>
        <w:t xml:space="preserve">(“Unriddling the Riddle: A Study in the Structure and Language of the Habakkuk Pesher [1 QpHab],” </w:t>
      </w:r>
      <w:r>
        <w:rPr>
          <w:rFonts w:ascii="Times New Roman" w:hAnsi="Times New Roman"/>
          <w:i/>
          <w:sz w:val="22"/>
        </w:rPr>
        <w:t xml:space="preserve">RevQ </w:t>
      </w:r>
      <w:r>
        <w:rPr>
          <w:rFonts w:ascii="Times New Roman" w:hAnsi="Times New Roman"/>
          <w:sz w:val="22"/>
        </w:rPr>
        <w:t xml:space="preserve">3 [1961-2] 327-30).  Although </w:t>
      </w:r>
      <w:r>
        <w:rPr>
          <w:rFonts w:ascii="Times New Roman" w:hAnsi="Times New Roman"/>
          <w:i/>
          <w:sz w:val="22"/>
        </w:rPr>
        <w:t>pesher</w:t>
      </w:r>
      <w:r>
        <w:rPr>
          <w:rFonts w:ascii="Times New Roman" w:hAnsi="Times New Roman"/>
          <w:sz w:val="22"/>
        </w:rPr>
        <w:t xml:space="preserve"> compositions will contain a number of “short” introductory formulas, I would maintain that the use of at least some formulas including the word “</w:t>
      </w:r>
      <w:r>
        <w:rPr>
          <w:rFonts w:ascii="Times New Roman" w:hAnsi="Times New Roman"/>
          <w:i/>
          <w:sz w:val="22"/>
        </w:rPr>
        <w:t>pesher</w:t>
      </w:r>
      <w:r>
        <w:rPr>
          <w:rFonts w:ascii="Times New Roman" w:hAnsi="Times New Roman"/>
          <w:sz w:val="22"/>
        </w:rPr>
        <w:t xml:space="preserve">” must be seen as a necessary formal characteristic of a </w:t>
      </w:r>
      <w:r>
        <w:rPr>
          <w:rFonts w:ascii="Times New Roman" w:hAnsi="Times New Roman"/>
          <w:i/>
          <w:sz w:val="22"/>
        </w:rPr>
        <w:t>pesher</w:t>
      </w:r>
      <w:r>
        <w:rPr>
          <w:rFonts w:ascii="Times New Roman" w:hAnsi="Times New Roman"/>
          <w:sz w:val="22"/>
        </w:rPr>
        <w:t xml:space="preserve"> composition. The extent of the use of the technical term as a generic feature is one of the </w:t>
      </w:r>
      <w:r>
        <w:rPr>
          <w:rFonts w:ascii="Times New Roman" w:hAnsi="Times New Roman"/>
          <w:i/>
          <w:sz w:val="22"/>
        </w:rPr>
        <w:t>foci</w:t>
      </w:r>
      <w:r>
        <w:rPr>
          <w:rFonts w:ascii="Times New Roman" w:hAnsi="Times New Roman"/>
          <w:sz w:val="22"/>
        </w:rPr>
        <w:t xml:space="preserve"> for the disagreement concerning the categorization of “thematic midrash”/ “thematic </w:t>
      </w:r>
      <w:r>
        <w:rPr>
          <w:rFonts w:ascii="Times New Roman" w:hAnsi="Times New Roman"/>
          <w:i/>
          <w:sz w:val="22"/>
        </w:rPr>
        <w:t>pesher</w:t>
      </w:r>
      <w:r>
        <w:rPr>
          <w:rFonts w:ascii="Times New Roman" w:hAnsi="Times New Roman"/>
          <w:sz w:val="22"/>
        </w:rPr>
        <w:t>,” noted above.</w:t>
      </w:r>
    </w:p>
  </w:footnote>
  <w:footnote w:id="7">
    <w:p w:rsidR="00C71FD3" w:rsidRDefault="00C71FD3" w:rsidP="00C71FD3">
      <w:pPr>
        <w:ind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This characterization has its roots in the early tendency to contrast </w:t>
      </w:r>
      <w:r>
        <w:rPr>
          <w:rFonts w:ascii="Times New Roman" w:hAnsi="Times New Roman"/>
          <w:i/>
          <w:sz w:val="22"/>
        </w:rPr>
        <w:t>pesher</w:t>
      </w:r>
      <w:r>
        <w:rPr>
          <w:rFonts w:ascii="Times New Roman" w:hAnsi="Times New Roman"/>
          <w:sz w:val="22"/>
        </w:rPr>
        <w:t xml:space="preserve"> to works of “re-written Bible,” specifically, the </w:t>
      </w:r>
      <w:r>
        <w:rPr>
          <w:rFonts w:ascii="Times New Roman" w:hAnsi="Times New Roman"/>
          <w:i/>
          <w:sz w:val="22"/>
        </w:rPr>
        <w:t>Genesis Apocryphon</w:t>
      </w:r>
      <w:r>
        <w:rPr>
          <w:rFonts w:ascii="Times New Roman" w:hAnsi="Times New Roman"/>
          <w:sz w:val="22"/>
        </w:rPr>
        <w:t xml:space="preserve">.  See, for example, Vermes, “Bible Interpretation at Qumran,” </w:t>
      </w:r>
      <w:r>
        <w:rPr>
          <w:rFonts w:ascii="Times New Roman" w:hAnsi="Times New Roman"/>
          <w:i/>
          <w:sz w:val="22"/>
        </w:rPr>
        <w:t xml:space="preserve">Eretz Israel </w:t>
      </w:r>
      <w:r>
        <w:rPr>
          <w:rFonts w:ascii="Times New Roman" w:hAnsi="Times New Roman"/>
          <w:sz w:val="22"/>
        </w:rPr>
        <w:t xml:space="preserve"> 20 (1989) 184*-91*.  Studies by M. J. Bernstein and G. Brooke on 4Q252 (previously called 4QPesher Genesis</w:t>
      </w:r>
      <w:r>
        <w:rPr>
          <w:rFonts w:ascii="Times New Roman" w:hAnsi="Times New Roman"/>
          <w:sz w:val="22"/>
          <w:vertAlign w:val="superscript"/>
        </w:rPr>
        <w:t>a</w:t>
      </w:r>
      <w:r>
        <w:rPr>
          <w:rFonts w:ascii="Times New Roman" w:hAnsi="Times New Roman"/>
          <w:sz w:val="22"/>
        </w:rPr>
        <w:t xml:space="preserve">) have refined the distinction between </w:t>
      </w:r>
      <w:r>
        <w:rPr>
          <w:rFonts w:ascii="Times New Roman" w:hAnsi="Times New Roman"/>
          <w:i/>
          <w:sz w:val="22"/>
        </w:rPr>
        <w:t>pesher</w:t>
      </w:r>
      <w:r>
        <w:rPr>
          <w:rFonts w:ascii="Times New Roman" w:hAnsi="Times New Roman"/>
          <w:sz w:val="22"/>
        </w:rPr>
        <w:t xml:space="preserve"> and re-written Bible and further honed generic criteria.  </w:t>
      </w:r>
      <w:r>
        <w:rPr>
          <w:rFonts w:ascii="Times New Roman" w:hAnsi="Times New Roman" w:hint="cs"/>
          <w:sz w:val="22"/>
        </w:rPr>
        <w:t>C</w:t>
      </w:r>
      <w:r>
        <w:rPr>
          <w:rFonts w:ascii="Times New Roman" w:hAnsi="Times New Roman"/>
          <w:sz w:val="22"/>
        </w:rPr>
        <w:t xml:space="preserve">f. G. J. Brooke, “The Genre of 4Q252: From Poetry to Pesher,” </w:t>
      </w:r>
      <w:r>
        <w:rPr>
          <w:rFonts w:ascii="Times New Roman" w:hAnsi="Times New Roman"/>
          <w:i/>
          <w:sz w:val="22"/>
        </w:rPr>
        <w:t>DSD</w:t>
      </w:r>
      <w:r>
        <w:rPr>
          <w:rFonts w:ascii="Times New Roman" w:hAnsi="Times New Roman"/>
          <w:sz w:val="22"/>
        </w:rPr>
        <w:t xml:space="preserve"> 1 (1994) 160-79, and “The Thematic Content of 4Q252,” </w:t>
      </w:r>
      <w:r>
        <w:rPr>
          <w:rFonts w:ascii="Times New Roman" w:hAnsi="Times New Roman"/>
          <w:i/>
          <w:sz w:val="22"/>
        </w:rPr>
        <w:t>JQR</w:t>
      </w:r>
      <w:r>
        <w:rPr>
          <w:rFonts w:ascii="Times New Roman" w:hAnsi="Times New Roman"/>
          <w:sz w:val="22"/>
        </w:rPr>
        <w:t xml:space="preserve"> 85 (1994) 33-59; M. J. Bernstein, “4Q452: From Re-written Bible to Biblical Commentary,” </w:t>
      </w:r>
      <w:r>
        <w:rPr>
          <w:rFonts w:ascii="Times New Roman" w:hAnsi="Times New Roman"/>
          <w:i/>
          <w:sz w:val="22"/>
        </w:rPr>
        <w:t>JJS</w:t>
      </w:r>
      <w:r>
        <w:rPr>
          <w:rFonts w:ascii="Times New Roman" w:hAnsi="Times New Roman"/>
          <w:sz w:val="22"/>
        </w:rPr>
        <w:t xml:space="preserve"> 45 (1994) 1-27 and “4Q252: Method and Context, Genre and Sources: A Response to George J. Brooke,” </w:t>
      </w:r>
      <w:r>
        <w:rPr>
          <w:rFonts w:ascii="Times New Roman" w:hAnsi="Times New Roman"/>
          <w:i/>
          <w:sz w:val="22"/>
        </w:rPr>
        <w:t>JQR</w:t>
      </w:r>
      <w:r>
        <w:rPr>
          <w:rFonts w:ascii="Times New Roman" w:hAnsi="Times New Roman"/>
          <w:sz w:val="22"/>
        </w:rPr>
        <w:t xml:space="preserve"> 85 (1994) 61-79.  The Brooke-Bernstein debate has largely revolved around issues concerning the function and aim of 4Q252, assessing the work’s “theme(s)” (or lack thereof) and “structure.”  (See below, section 4, on “motive”).  In his initial assessment of 4Q252, however, Brooke stressed a differentiation between implicit and explicit interpretation.  </w:t>
      </w:r>
      <w:r>
        <w:rPr>
          <w:rFonts w:ascii="Times New Roman" w:hAnsi="Times New Roman"/>
          <w:i/>
          <w:sz w:val="22"/>
        </w:rPr>
        <w:t>Pesher</w:t>
      </w:r>
      <w:r>
        <w:rPr>
          <w:rFonts w:ascii="Times New Roman" w:hAnsi="Times New Roman"/>
          <w:sz w:val="22"/>
        </w:rPr>
        <w:t>, which cites its lemma, exemplifies “explicit” biblical interpretation.</w:t>
      </w:r>
    </w:p>
  </w:footnote>
  <w:footnote w:id="8">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See below, section 3, on the meaning(s) of these and related roots, esp. in reference to dream interpretation.</w:t>
      </w:r>
    </w:p>
  </w:footnote>
  <w:footnote w:id="9">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w:t>
      </w:r>
      <w:r>
        <w:rPr>
          <w:rStyle w:val="FootnoteReference"/>
          <w:sz w:val="22"/>
        </w:rPr>
        <w:t xml:space="preserve"> </w:t>
      </w:r>
      <w:r>
        <w:rPr>
          <w:sz w:val="22"/>
        </w:rPr>
        <w:t xml:space="preserve">Cf., e.g., </w:t>
      </w:r>
      <w:r>
        <w:rPr>
          <w:i/>
          <w:sz w:val="22"/>
        </w:rPr>
        <w:t>y. Terumot</w:t>
      </w:r>
      <w:r>
        <w:rPr>
          <w:sz w:val="22"/>
        </w:rPr>
        <w:t xml:space="preserve"> 3:6 (42b) in reference to Exod 22:28, </w:t>
      </w:r>
      <w:r>
        <w:rPr>
          <w:rFonts w:ascii="אילת" w:hAnsi="אילת" w:cs="אילת" w:hint="cs"/>
          <w:sz w:val="22"/>
          <w:szCs w:val="22"/>
          <w:rtl/>
        </w:rPr>
        <w:t>פתר ליה בביעור</w:t>
      </w:r>
      <w:r>
        <w:rPr>
          <w:sz w:val="22"/>
        </w:rPr>
        <w:t xml:space="preserve">; and </w:t>
      </w:r>
      <w:r>
        <w:rPr>
          <w:i/>
          <w:sz w:val="22"/>
        </w:rPr>
        <w:t>y. Qidd.</w:t>
      </w:r>
      <w:r>
        <w:rPr>
          <w:sz w:val="22"/>
        </w:rPr>
        <w:t xml:space="preserve"> 1:2 (59c) in reference to Deut 15:17,</w:t>
      </w:r>
      <w:r>
        <w:rPr>
          <w:rFonts w:ascii="אילת" w:hAnsi="אילת" w:cs="אילת"/>
          <w:sz w:val="22"/>
          <w:szCs w:val="22"/>
          <w:rtl/>
        </w:rPr>
        <w:t xml:space="preserve"> פתר ליה בהענק</w:t>
      </w:r>
      <w:r>
        <w:rPr>
          <w:sz w:val="22"/>
        </w:rPr>
        <w:t>.</w:t>
      </w:r>
    </w:p>
  </w:footnote>
  <w:footnote w:id="10">
    <w:p w:rsidR="00C71FD3" w:rsidRDefault="00C71FD3" w:rsidP="00C71FD3">
      <w:pPr>
        <w:ind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Translation of L. H. Silberman, “Unriddling,” 328.  Bloch renders </w:t>
      </w:r>
    </w:p>
    <w:p w:rsidR="00C71FD3" w:rsidRDefault="00C71FD3" w:rsidP="00C71FD3">
      <w:pPr>
        <w:rPr>
          <w:rFonts w:ascii="Times New Roman" w:hAnsi="Times New Roman"/>
          <w:sz w:val="22"/>
        </w:rPr>
      </w:pPr>
      <w:r>
        <w:rPr>
          <w:rFonts w:ascii="Times New Roman" w:hAnsi="Times New Roman"/>
          <w:sz w:val="22"/>
        </w:rPr>
        <w:t>“...</w:t>
      </w:r>
      <w:r>
        <w:rPr>
          <w:rFonts w:ascii="אילת" w:hAnsi="אילת" w:cs="אילת" w:hint="cs"/>
          <w:sz w:val="22"/>
          <w:szCs w:val="22"/>
          <w:rtl/>
        </w:rPr>
        <w:t>ב</w:t>
      </w:r>
      <w:r>
        <w:rPr>
          <w:rFonts w:ascii="Times New Roman" w:hAnsi="Times New Roman"/>
          <w:sz w:val="22"/>
        </w:rPr>
        <w:t xml:space="preserve"> </w:t>
      </w:r>
      <w:r>
        <w:rPr>
          <w:rFonts w:ascii="אילת" w:hAnsi="אילת" w:cs="אילת" w:hint="cs"/>
          <w:sz w:val="22"/>
          <w:szCs w:val="22"/>
          <w:rtl/>
        </w:rPr>
        <w:t>קרא</w:t>
      </w:r>
      <w:r>
        <w:rPr>
          <w:rFonts w:ascii="Times New Roman" w:hAnsi="Times New Roman" w:hint="cs"/>
          <w:sz w:val="22"/>
        </w:rPr>
        <w:t xml:space="preserve"> </w:t>
      </w:r>
      <w:r>
        <w:rPr>
          <w:rFonts w:ascii="Times New Roman" w:hAnsi="Times New Roman"/>
          <w:sz w:val="22"/>
        </w:rPr>
        <w:t xml:space="preserve"> </w:t>
      </w:r>
      <w:r>
        <w:rPr>
          <w:rFonts w:ascii="אילת" w:hAnsi="אילת" w:cs="אילת" w:hint="cs"/>
          <w:sz w:val="22"/>
          <w:szCs w:val="22"/>
          <w:rtl/>
        </w:rPr>
        <w:t>פתר</w:t>
      </w:r>
      <w:r>
        <w:rPr>
          <w:rFonts w:ascii="Times New Roman" w:hAnsi="Times New Roman" w:hint="cs"/>
          <w:sz w:val="22"/>
        </w:rPr>
        <w:t xml:space="preserve"> </w:t>
      </w:r>
      <w:r>
        <w:rPr>
          <w:rFonts w:ascii="Times New Roman" w:hAnsi="Times New Roman"/>
          <w:sz w:val="22"/>
        </w:rPr>
        <w:t xml:space="preserve"> '</w:t>
      </w:r>
      <w:r>
        <w:rPr>
          <w:rFonts w:ascii="אילת" w:hAnsi="אילת" w:cs="אילת" w:hint="cs"/>
          <w:sz w:val="22"/>
          <w:szCs w:val="22"/>
          <w:rtl/>
        </w:rPr>
        <w:t>פ</w:t>
      </w:r>
      <w:r>
        <w:rPr>
          <w:rFonts w:ascii="אילת" w:hAnsi="אילת"/>
          <w:sz w:val="22"/>
        </w:rPr>
        <w:t xml:space="preserve"> </w:t>
      </w:r>
      <w:r>
        <w:rPr>
          <w:rFonts w:ascii="Times New Roman" w:hAnsi="Times New Roman"/>
          <w:sz w:val="22"/>
        </w:rPr>
        <w:t>'</w:t>
      </w:r>
      <w:r>
        <w:rPr>
          <w:rFonts w:ascii="אילת" w:hAnsi="אילת" w:cs="אילת" w:hint="cs"/>
          <w:sz w:val="22"/>
          <w:szCs w:val="22"/>
          <w:rtl/>
        </w:rPr>
        <w:t>ר</w:t>
      </w:r>
      <w:r>
        <w:rPr>
          <w:rFonts w:ascii="Times New Roman" w:hAnsi="Times New Roman"/>
          <w:sz w:val="22"/>
        </w:rPr>
        <w:t xml:space="preserve">” as “R. ...legt den Vers mit Bezug auf...aus” (“Studien zur Aggadah,” </w:t>
      </w:r>
      <w:r>
        <w:rPr>
          <w:rFonts w:ascii="Times New Roman" w:hAnsi="Times New Roman"/>
          <w:i/>
          <w:sz w:val="22"/>
        </w:rPr>
        <w:t>MGWJ</w:t>
      </w:r>
      <w:r>
        <w:rPr>
          <w:rFonts w:ascii="Times New Roman" w:hAnsi="Times New Roman"/>
          <w:sz w:val="22"/>
        </w:rPr>
        <w:t xml:space="preserve"> 34 [1884] 8-9, 266.  Cf. 264-69; 385-92.)  Silberman emphasized that the structure of </w:t>
      </w:r>
      <w:r>
        <w:rPr>
          <w:rFonts w:ascii="Times New Roman" w:hAnsi="Times New Roman"/>
          <w:i/>
          <w:sz w:val="22"/>
        </w:rPr>
        <w:t>pesher</w:t>
      </w:r>
      <w:r>
        <w:rPr>
          <w:rFonts w:ascii="Times New Roman" w:hAnsi="Times New Roman"/>
          <w:sz w:val="22"/>
        </w:rPr>
        <w:t xml:space="preserve"> is like that of the </w:t>
      </w:r>
      <w:r>
        <w:rPr>
          <w:rFonts w:ascii="Times New Roman" w:hAnsi="Times New Roman"/>
          <w:i/>
          <w:sz w:val="22"/>
        </w:rPr>
        <w:t>petira</w:t>
      </w:r>
      <w:r>
        <w:rPr>
          <w:rFonts w:ascii="Times New Roman" w:hAnsi="Times New Roman"/>
          <w:sz w:val="22"/>
        </w:rPr>
        <w:t xml:space="preserve">, in that the </w:t>
      </w:r>
      <w:r>
        <w:rPr>
          <w:rFonts w:ascii="Times New Roman" w:hAnsi="Times New Roman"/>
          <w:i/>
          <w:sz w:val="22"/>
        </w:rPr>
        <w:t>pesher</w:t>
      </w:r>
      <w:r>
        <w:rPr>
          <w:rFonts w:ascii="Times New Roman" w:hAnsi="Times New Roman"/>
          <w:sz w:val="22"/>
        </w:rPr>
        <w:t xml:space="preserve"> citation is followed by an introductory formula, and an identifying interpretation.  See P. Mandel, “Midrashic Exegesis,” 159, n. 22; I. Fröhlich, “Le Genre Littéraire des </w:t>
      </w:r>
      <w:r>
        <w:rPr>
          <w:rFonts w:ascii="Times New Roman" w:hAnsi="Times New Roman"/>
          <w:i/>
          <w:sz w:val="22"/>
        </w:rPr>
        <w:t xml:space="preserve">Pesharim </w:t>
      </w:r>
      <w:r>
        <w:rPr>
          <w:rFonts w:ascii="Times New Roman" w:hAnsi="Times New Roman"/>
          <w:sz w:val="22"/>
        </w:rPr>
        <w:t xml:space="preserve">du Qumran,” </w:t>
      </w:r>
      <w:r>
        <w:rPr>
          <w:rFonts w:ascii="Times New Roman" w:hAnsi="Times New Roman"/>
          <w:i/>
          <w:sz w:val="22"/>
        </w:rPr>
        <w:t xml:space="preserve">RevQ </w:t>
      </w:r>
      <w:r>
        <w:rPr>
          <w:rFonts w:ascii="Times New Roman" w:hAnsi="Times New Roman"/>
          <w:sz w:val="22"/>
        </w:rPr>
        <w:t>12 (1986) 385.</w:t>
      </w:r>
    </w:p>
  </w:footnote>
  <w:footnote w:id="11">
    <w:p w:rsidR="00C71FD3" w:rsidRDefault="00C71FD3" w:rsidP="00C71FD3">
      <w:pPr>
        <w:ind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Cf., e.g., N. Wieder, “The Dead Sea Scrolls Type of Biblical Exegesis among the Karaites,” A. Altmann, ed., </w:t>
      </w:r>
      <w:r>
        <w:rPr>
          <w:rFonts w:ascii="Times New Roman" w:hAnsi="Times New Roman"/>
          <w:i/>
          <w:sz w:val="22"/>
        </w:rPr>
        <w:t>Between East and West: Essays Dedicated to the Memory of Bela Horovitz</w:t>
      </w:r>
      <w:r>
        <w:rPr>
          <w:rFonts w:ascii="Times New Roman" w:hAnsi="Times New Roman"/>
          <w:sz w:val="22"/>
        </w:rPr>
        <w:t xml:space="preserve"> (London: East and West Library, 1958), 75; Nitzan </w:t>
      </w:r>
      <w:r>
        <w:rPr>
          <w:rFonts w:ascii="אילת" w:hAnsi="אילת" w:cs="אילת" w:hint="cs"/>
          <w:sz w:val="22"/>
          <w:szCs w:val="22"/>
          <w:rtl/>
        </w:rPr>
        <w:t>חבקוק</w:t>
      </w:r>
      <w:r>
        <w:rPr>
          <w:rFonts w:ascii="Times New Roman" w:hAnsi="Times New Roman"/>
          <w:sz w:val="22"/>
        </w:rPr>
        <w:t xml:space="preserve"> </w:t>
      </w:r>
      <w:r>
        <w:rPr>
          <w:rFonts w:ascii="אילת" w:hAnsi="אילת" w:cs="אילת" w:hint="cs"/>
          <w:sz w:val="22"/>
          <w:szCs w:val="22"/>
          <w:rtl/>
        </w:rPr>
        <w:t>מגילת</w:t>
      </w:r>
      <w:r>
        <w:rPr>
          <w:rFonts w:ascii="אילת" w:hAnsi="אילת" w:hint="cs"/>
          <w:sz w:val="22"/>
        </w:rPr>
        <w:t xml:space="preserve"> </w:t>
      </w:r>
      <w:r>
        <w:rPr>
          <w:rFonts w:ascii="אילת" w:hAnsi="אילת" w:cs="אילת" w:hint="cs"/>
          <w:sz w:val="22"/>
          <w:szCs w:val="22"/>
          <w:rtl/>
        </w:rPr>
        <w:t>פשר</w:t>
      </w:r>
      <w:r>
        <w:rPr>
          <w:rFonts w:ascii="Times New Roman" w:hAnsi="Times New Roman"/>
          <w:sz w:val="22"/>
        </w:rPr>
        <w:t xml:space="preserve">, 27; C. Roth, “The Subject Matter of Qumran exegesis,” </w:t>
      </w:r>
      <w:r>
        <w:rPr>
          <w:rFonts w:ascii="Times New Roman" w:hAnsi="Times New Roman"/>
          <w:i/>
          <w:sz w:val="22"/>
        </w:rPr>
        <w:t>VT</w:t>
      </w:r>
      <w:r>
        <w:rPr>
          <w:rFonts w:ascii="Times New Roman" w:hAnsi="Times New Roman"/>
          <w:sz w:val="22"/>
        </w:rPr>
        <w:t xml:space="preserve"> 10 (1960) 52.  Wieder maintained that this attribute distinguished </w:t>
      </w:r>
      <w:r>
        <w:rPr>
          <w:rFonts w:ascii="Times New Roman" w:hAnsi="Times New Roman"/>
          <w:i/>
          <w:sz w:val="22"/>
        </w:rPr>
        <w:t>pesher</w:t>
      </w:r>
      <w:r>
        <w:rPr>
          <w:rFonts w:ascii="Times New Roman" w:hAnsi="Times New Roman"/>
          <w:sz w:val="22"/>
        </w:rPr>
        <w:t xml:space="preserve"> from midrash, but Silberman (“Unriddling,” 326) presented the views of I. L. Seeligman regarding a similar aim in midrash.  Seeligman had stated that the purpose of “earliest Jewish exegesis, i.e. Midrash,” was to contemporize in the broadest sense: to make the ancient text relevant to current concerns (</w:t>
      </w:r>
      <w:r>
        <w:rPr>
          <w:rFonts w:ascii="Times New Roman" w:hAnsi="Times New Roman"/>
          <w:i/>
          <w:sz w:val="22"/>
        </w:rPr>
        <w:t>Septuagint Version of Isaiah: A Discussion of Its Problems</w:t>
      </w:r>
      <w:r>
        <w:rPr>
          <w:rFonts w:ascii="Times New Roman" w:hAnsi="Times New Roman"/>
          <w:sz w:val="22"/>
        </w:rPr>
        <w:t xml:space="preserve"> [Leiden: Brill, 1948], 82).  Seeligman also presented particular examples from Daniel and the Passover Haggadah that he showed to be “contemporizing” in the more restricted sense of applying the text to a specific later historical reality, and not merely to one’s own situation generally (82-86).  Cf. D. Patte, </w:t>
      </w:r>
      <w:r>
        <w:rPr>
          <w:rFonts w:ascii="Times New Roman" w:hAnsi="Times New Roman"/>
          <w:i/>
          <w:sz w:val="22"/>
        </w:rPr>
        <w:t>Early Jewish Hermeneutic in Palestine,</w:t>
      </w:r>
      <w:r>
        <w:rPr>
          <w:rFonts w:ascii="Times New Roman" w:hAnsi="Times New Roman"/>
          <w:sz w:val="22"/>
        </w:rPr>
        <w:t xml:space="preserve"> SBLDS 22 (Missoula: Scholars Press, 1975), esp. 75-81, 99-100, 123-25.</w:t>
      </w:r>
    </w:p>
  </w:footnote>
  <w:footnote w:id="12">
    <w:p w:rsidR="00C71FD3" w:rsidRDefault="00C71FD3" w:rsidP="00C71FD3">
      <w:pPr>
        <w:ind w:right="90"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A detailed analysis of every </w:t>
      </w:r>
      <w:r>
        <w:rPr>
          <w:rFonts w:ascii="Times New Roman" w:hAnsi="Times New Roman"/>
          <w:i/>
          <w:sz w:val="22"/>
        </w:rPr>
        <w:t>petira</w:t>
      </w:r>
      <w:r>
        <w:rPr>
          <w:rFonts w:ascii="Times New Roman" w:hAnsi="Times New Roman"/>
          <w:sz w:val="22"/>
        </w:rPr>
        <w:t xml:space="preserve"> in the rabbinic corpus is beyond the scope of this investigation.  However, the following preliminary observation may be observed.  The use of </w:t>
      </w:r>
      <w:r>
        <w:rPr>
          <w:rFonts w:ascii="אילת" w:hAnsi="אילת" w:cs="אילת" w:hint="cs"/>
          <w:sz w:val="22"/>
          <w:szCs w:val="22"/>
          <w:rtl/>
        </w:rPr>
        <w:t>פתר</w:t>
      </w:r>
      <w:r>
        <w:rPr>
          <w:rFonts w:ascii="Times New Roman" w:hAnsi="Times New Roman"/>
          <w:sz w:val="22"/>
        </w:rPr>
        <w:t xml:space="preserve"> in </w:t>
      </w:r>
      <w:r>
        <w:rPr>
          <w:rFonts w:ascii="Times New Roman" w:hAnsi="Times New Roman"/>
          <w:i/>
          <w:sz w:val="22"/>
        </w:rPr>
        <w:t xml:space="preserve">aggadic </w:t>
      </w:r>
      <w:r>
        <w:rPr>
          <w:rFonts w:ascii="Times New Roman" w:hAnsi="Times New Roman"/>
          <w:sz w:val="22"/>
        </w:rPr>
        <w:t>midrash includes applications of verses to the following: the first 10 generations of mankind (</w:t>
      </w:r>
      <w:r>
        <w:rPr>
          <w:rFonts w:ascii="Times New Roman" w:hAnsi="Times New Roman"/>
          <w:i/>
          <w:sz w:val="22"/>
        </w:rPr>
        <w:t>Gen. Rab.</w:t>
      </w:r>
      <w:r>
        <w:rPr>
          <w:rFonts w:ascii="Times New Roman" w:hAnsi="Times New Roman"/>
          <w:sz w:val="22"/>
        </w:rPr>
        <w:t xml:space="preserve"> 2:3); the generation of “Separation” (</w:t>
      </w:r>
      <w:r>
        <w:rPr>
          <w:rFonts w:ascii="Times New Roman" w:hAnsi="Times New Roman"/>
          <w:i/>
          <w:sz w:val="22"/>
        </w:rPr>
        <w:t xml:space="preserve">Gen. Rab. </w:t>
      </w:r>
      <w:r>
        <w:rPr>
          <w:rFonts w:ascii="Times New Roman" w:hAnsi="Times New Roman"/>
          <w:sz w:val="22"/>
        </w:rPr>
        <w:t>38:1); Noah (</w:t>
      </w:r>
      <w:r>
        <w:rPr>
          <w:rFonts w:ascii="Times New Roman" w:hAnsi="Times New Roman"/>
          <w:i/>
          <w:sz w:val="22"/>
        </w:rPr>
        <w:t xml:space="preserve">Gen. Rab. </w:t>
      </w:r>
      <w:r>
        <w:rPr>
          <w:rFonts w:ascii="Times New Roman" w:hAnsi="Times New Roman"/>
          <w:sz w:val="22"/>
        </w:rPr>
        <w:t>33:1 on Ps 36:7;) Abraham (</w:t>
      </w:r>
      <w:r>
        <w:rPr>
          <w:rFonts w:ascii="Times New Roman" w:hAnsi="Times New Roman"/>
          <w:i/>
          <w:sz w:val="22"/>
        </w:rPr>
        <w:t>Gen. Rab.</w:t>
      </w:r>
      <w:r>
        <w:rPr>
          <w:rFonts w:ascii="Times New Roman" w:hAnsi="Times New Roman"/>
          <w:sz w:val="22"/>
        </w:rPr>
        <w:t xml:space="preserve"> 39:3 on Songs 8:8, and 2 more times); Rebecca; Moses (2 times); Aaron (</w:t>
      </w:r>
      <w:r>
        <w:rPr>
          <w:rFonts w:ascii="Times New Roman" w:hAnsi="Times New Roman"/>
          <w:i/>
          <w:sz w:val="22"/>
        </w:rPr>
        <w:t>Lev. Rab.</w:t>
      </w:r>
      <w:r>
        <w:rPr>
          <w:rFonts w:ascii="Times New Roman" w:hAnsi="Times New Roman"/>
          <w:sz w:val="22"/>
        </w:rPr>
        <w:t xml:space="preserve"> 10:3); Miriam; Pharoah; the Sinai experience (3 times); the tribe of Reuben; the tribes of Reuben, Gad, and half of Manasseh; the participants in the Exodus; Joshua; Doeg and Ahitofel (</w:t>
      </w:r>
      <w:r>
        <w:rPr>
          <w:rFonts w:ascii="Times New Roman" w:hAnsi="Times New Roman"/>
          <w:i/>
          <w:sz w:val="22"/>
        </w:rPr>
        <w:t xml:space="preserve">Gen. Rab. </w:t>
      </w:r>
      <w:r>
        <w:rPr>
          <w:rFonts w:ascii="Times New Roman" w:hAnsi="Times New Roman"/>
          <w:sz w:val="22"/>
        </w:rPr>
        <w:t>38:1 on Ps 59:12) Solomon (3 times); Isaiah; Ezekiel; “the True Prophets;” successive foreign kingdoms (</w:t>
      </w:r>
      <w:r>
        <w:rPr>
          <w:rFonts w:ascii="Times New Roman" w:hAnsi="Times New Roman"/>
          <w:i/>
          <w:sz w:val="22"/>
        </w:rPr>
        <w:t>Gen. Rab.</w:t>
      </w:r>
      <w:r>
        <w:rPr>
          <w:rFonts w:ascii="Times New Roman" w:hAnsi="Times New Roman"/>
          <w:sz w:val="22"/>
        </w:rPr>
        <w:t xml:space="preserve"> 2:4; </w:t>
      </w:r>
      <w:r>
        <w:rPr>
          <w:rFonts w:ascii="Times New Roman" w:hAnsi="Times New Roman"/>
          <w:i/>
          <w:sz w:val="22"/>
        </w:rPr>
        <w:t>Gen. Rab.</w:t>
      </w:r>
      <w:r>
        <w:rPr>
          <w:rFonts w:ascii="Times New Roman" w:hAnsi="Times New Roman"/>
          <w:sz w:val="22"/>
        </w:rPr>
        <w:t xml:space="preserve"> 38:1 on Ps 59:12); successive exiles (</w:t>
      </w:r>
      <w:r>
        <w:rPr>
          <w:rFonts w:ascii="Times New Roman" w:hAnsi="Times New Roman"/>
          <w:i/>
          <w:sz w:val="22"/>
        </w:rPr>
        <w:t>Gen. Rab.</w:t>
      </w:r>
      <w:r>
        <w:rPr>
          <w:rFonts w:ascii="Times New Roman" w:hAnsi="Times New Roman"/>
          <w:sz w:val="22"/>
        </w:rPr>
        <w:t xml:space="preserve"> 99:1, on Ps 68:17); future redemption (</w:t>
      </w:r>
      <w:r>
        <w:rPr>
          <w:rFonts w:ascii="אילת" w:hAnsi="אילת" w:cs="אילת" w:hint="cs"/>
          <w:sz w:val="22"/>
          <w:szCs w:val="22"/>
          <w:rtl/>
        </w:rPr>
        <w:t>גאולה</w:t>
      </w:r>
      <w:r>
        <w:rPr>
          <w:rFonts w:ascii="אילת" w:hAnsi="אילת" w:hint="cs"/>
          <w:sz w:val="22"/>
        </w:rPr>
        <w:t xml:space="preserve"> </w:t>
      </w:r>
      <w:r>
        <w:rPr>
          <w:rFonts w:ascii="אילת" w:hAnsi="אילת" w:cs="אילת" w:hint="cs"/>
          <w:sz w:val="22"/>
          <w:szCs w:val="22"/>
          <w:rtl/>
        </w:rPr>
        <w:t>של</w:t>
      </w:r>
      <w:r>
        <w:rPr>
          <w:rFonts w:ascii="אילת" w:hAnsi="אילת" w:hint="cs"/>
          <w:sz w:val="22"/>
        </w:rPr>
        <w:t xml:space="preserve"> </w:t>
      </w:r>
      <w:r>
        <w:rPr>
          <w:rFonts w:ascii="אילת" w:hAnsi="אילת" w:cs="אילת" w:hint="cs"/>
          <w:sz w:val="22"/>
          <w:szCs w:val="22"/>
          <w:rtl/>
        </w:rPr>
        <w:t>מחר</w:t>
      </w:r>
      <w:r>
        <w:rPr>
          <w:rFonts w:ascii="Times New Roman" w:hAnsi="Times New Roman"/>
          <w:sz w:val="22"/>
        </w:rPr>
        <w:t xml:space="preserve">, </w:t>
      </w:r>
      <w:r>
        <w:rPr>
          <w:rFonts w:ascii="Times New Roman" w:hAnsi="Times New Roman"/>
          <w:i/>
          <w:sz w:val="22"/>
        </w:rPr>
        <w:t>Lev. Rab.</w:t>
      </w:r>
      <w:r>
        <w:rPr>
          <w:rFonts w:ascii="Times New Roman" w:hAnsi="Times New Roman"/>
          <w:sz w:val="22"/>
        </w:rPr>
        <w:t xml:space="preserve"> 23 in Ps 25:15). </w:t>
      </w:r>
    </w:p>
    <w:p w:rsidR="00C71FD3" w:rsidRDefault="00C71FD3" w:rsidP="00C71FD3">
      <w:pPr>
        <w:ind w:right="90" w:firstLine="180"/>
        <w:rPr>
          <w:rFonts w:ascii="Times New Roman" w:hAnsi="Times New Roman"/>
          <w:sz w:val="22"/>
        </w:rPr>
      </w:pPr>
      <w:r>
        <w:rPr>
          <w:rFonts w:ascii="Times New Roman" w:hAnsi="Times New Roman"/>
          <w:sz w:val="22"/>
        </w:rPr>
        <w:t>This list was compiled from a word-search of “</w:t>
      </w:r>
      <w:r>
        <w:rPr>
          <w:rFonts w:ascii="Times New Roman" w:hAnsi="Times New Roman"/>
          <w:i/>
          <w:sz w:val="22"/>
        </w:rPr>
        <w:t>aggadic</w:t>
      </w:r>
      <w:r>
        <w:rPr>
          <w:rFonts w:ascii="Times New Roman" w:hAnsi="Times New Roman"/>
          <w:sz w:val="22"/>
        </w:rPr>
        <w:t xml:space="preserve"> midrash” in the CD-Rom Concordance of the Bar Ilan Responsa Project, which yielded 68 occurrences.  Even among the applications to tangible objects, a prominent referent for </w:t>
      </w:r>
      <w:r>
        <w:rPr>
          <w:rFonts w:ascii="Times New Roman" w:hAnsi="Times New Roman"/>
          <w:i/>
          <w:sz w:val="22"/>
        </w:rPr>
        <w:t>petira</w:t>
      </w:r>
      <w:r>
        <w:rPr>
          <w:rFonts w:ascii="Times New Roman" w:hAnsi="Times New Roman"/>
          <w:sz w:val="22"/>
        </w:rPr>
        <w:t xml:space="preserve"> applications is the Temple (also the Tabernacle, the altar, the high priest), a locus with a historical dimension.  The evidence of the midrashic examples does not support Dimant’s contrast of the </w:t>
      </w:r>
      <w:r>
        <w:rPr>
          <w:rFonts w:ascii="Times New Roman" w:hAnsi="Times New Roman"/>
          <w:i/>
          <w:sz w:val="22"/>
        </w:rPr>
        <w:t>petira</w:t>
      </w:r>
      <w:r>
        <w:rPr>
          <w:rFonts w:ascii="Times New Roman" w:hAnsi="Times New Roman"/>
          <w:sz w:val="22"/>
        </w:rPr>
        <w:t xml:space="preserve"> and </w:t>
      </w:r>
      <w:r>
        <w:rPr>
          <w:rFonts w:ascii="Times New Roman" w:hAnsi="Times New Roman"/>
          <w:i/>
          <w:sz w:val="22"/>
        </w:rPr>
        <w:t>pesher</w:t>
      </w:r>
      <w:r>
        <w:rPr>
          <w:rFonts w:ascii="Times New Roman" w:hAnsi="Times New Roman"/>
          <w:sz w:val="22"/>
        </w:rPr>
        <w:t xml:space="preserve">, in which she stated that “the </w:t>
      </w:r>
      <w:r>
        <w:rPr>
          <w:rFonts w:ascii="Times New Roman" w:hAnsi="Times New Roman"/>
          <w:i/>
          <w:sz w:val="22"/>
        </w:rPr>
        <w:t>petira</w:t>
      </w:r>
      <w:r>
        <w:rPr>
          <w:rFonts w:ascii="Times New Roman" w:hAnsi="Times New Roman"/>
          <w:sz w:val="22"/>
        </w:rPr>
        <w:t xml:space="preserve"> always deals with moral lessons, while the subject of the </w:t>
      </w:r>
      <w:r>
        <w:rPr>
          <w:rFonts w:ascii="Times New Roman" w:hAnsi="Times New Roman"/>
          <w:i/>
          <w:sz w:val="22"/>
        </w:rPr>
        <w:t>pesher</w:t>
      </w:r>
      <w:r>
        <w:rPr>
          <w:rFonts w:ascii="Times New Roman" w:hAnsi="Times New Roman"/>
          <w:sz w:val="22"/>
        </w:rPr>
        <w:t xml:space="preserve"> is historical eschatological” (“Qumran Sectarian Literature,” 506).</w:t>
      </w:r>
    </w:p>
  </w:footnote>
  <w:footnote w:id="13">
    <w:p w:rsidR="00C71FD3" w:rsidRDefault="00C71FD3" w:rsidP="00C71FD3">
      <w:pPr>
        <w:pStyle w:val="FootnoteText"/>
        <w:spacing w:line="240" w:lineRule="auto"/>
        <w:ind w:firstLine="180"/>
        <w:jc w:val="left"/>
        <w:rPr>
          <w:sz w:val="22"/>
        </w:rPr>
      </w:pPr>
      <w:r>
        <w:rPr>
          <w:rStyle w:val="FootnoteReference"/>
          <w:sz w:val="22"/>
        </w:rPr>
        <w:footnoteRef/>
      </w:r>
      <w:r>
        <w:rPr>
          <w:sz w:val="22"/>
        </w:rPr>
        <w:t>See “Midrashic Exegesis”, 160.  This point is further developed in some of Mandel’s other works.  I would like to express my gratitude to Paul Mandel for generously providing me with a copy of a forthcoming article on the rabbinic “</w:t>
      </w:r>
      <w:r>
        <w:rPr>
          <w:i/>
          <w:sz w:val="22"/>
        </w:rPr>
        <w:t>petihta</w:t>
      </w:r>
      <w:r>
        <w:rPr>
          <w:sz w:val="22"/>
        </w:rPr>
        <w:t xml:space="preserve">”, </w:t>
      </w:r>
    </w:p>
    <w:p w:rsidR="00C71FD3" w:rsidRDefault="00C71FD3" w:rsidP="00C71FD3">
      <w:pPr>
        <w:pStyle w:val="FootnoteText"/>
        <w:spacing w:line="240" w:lineRule="auto"/>
        <w:ind w:firstLine="0"/>
        <w:jc w:val="left"/>
        <w:rPr>
          <w:sz w:val="22"/>
        </w:rPr>
      </w:pPr>
      <w:r>
        <w:rPr>
          <w:sz w:val="22"/>
        </w:rPr>
        <w:t>“</w:t>
      </w:r>
      <w:r>
        <w:rPr>
          <w:rFonts w:ascii="אילת" w:hAnsi="אילת" w:cs="אילת" w:hint="cs"/>
          <w:sz w:val="22"/>
          <w:szCs w:val="22"/>
          <w:rtl/>
        </w:rPr>
        <w:t>עיון חדש</w:t>
      </w:r>
      <w:r>
        <w:rPr>
          <w:rFonts w:ascii="אילת" w:hAnsi="אילת"/>
          <w:noProof w:val="0"/>
          <w:sz w:val="22"/>
        </w:rPr>
        <w:t xml:space="preserve"> </w:t>
      </w:r>
      <w:r>
        <w:rPr>
          <w:sz w:val="22"/>
        </w:rPr>
        <w:t xml:space="preserve">–  </w:t>
      </w:r>
      <w:r>
        <w:rPr>
          <w:rFonts w:ascii="אילת" w:hAnsi="אילת" w:hint="cs"/>
          <w:noProof w:val="0"/>
          <w:sz w:val="22"/>
        </w:rPr>
        <w:t xml:space="preserve"> </w:t>
      </w:r>
      <w:r>
        <w:rPr>
          <w:rFonts w:ascii="אילת" w:hAnsi="אילת" w:cs="אילת"/>
          <w:sz w:val="22"/>
          <w:szCs w:val="22"/>
          <w:rtl/>
        </w:rPr>
        <w:t>ועל הפתיחה</w:t>
      </w:r>
      <w:r>
        <w:rPr>
          <w:sz w:val="22"/>
        </w:rPr>
        <w:t xml:space="preserve"> '</w:t>
      </w:r>
      <w:r>
        <w:rPr>
          <w:rFonts w:ascii="אילת" w:hAnsi="אילת" w:cs="אילת" w:hint="cs"/>
          <w:sz w:val="22"/>
          <w:szCs w:val="22"/>
          <w:rtl/>
        </w:rPr>
        <w:t>פתח</w:t>
      </w:r>
      <w:r>
        <w:rPr>
          <w:sz w:val="22"/>
        </w:rPr>
        <w:t>'</w:t>
      </w:r>
      <w:r>
        <w:rPr>
          <w:rFonts w:ascii="אילת" w:hAnsi="אילת" w:cs="אילת"/>
          <w:sz w:val="22"/>
          <w:szCs w:val="22"/>
          <w:rtl/>
        </w:rPr>
        <w:t xml:space="preserve">על </w:t>
      </w:r>
      <w:r>
        <w:rPr>
          <w:sz w:val="22"/>
        </w:rPr>
        <w:t>”, and a work-in-progress related to the “</w:t>
      </w:r>
      <w:r>
        <w:rPr>
          <w:i/>
          <w:sz w:val="22"/>
        </w:rPr>
        <w:t>petira</w:t>
      </w:r>
      <w:r>
        <w:rPr>
          <w:sz w:val="22"/>
        </w:rPr>
        <w:t>”,</w:t>
      </w:r>
    </w:p>
    <w:p w:rsidR="00C71FD3" w:rsidRDefault="00C71FD3" w:rsidP="00C71FD3">
      <w:pPr>
        <w:pStyle w:val="FootnoteText"/>
        <w:spacing w:line="240" w:lineRule="auto"/>
        <w:ind w:firstLine="0"/>
        <w:jc w:val="left"/>
        <w:rPr>
          <w:rFonts w:ascii="אילת" w:hAnsi="אילת"/>
          <w:noProof w:val="0"/>
          <w:sz w:val="22"/>
        </w:rPr>
      </w:pPr>
      <w:r>
        <w:rPr>
          <w:rFonts w:ascii="אילת" w:hAnsi="אילת" w:cs="אילת"/>
          <w:sz w:val="22"/>
          <w:szCs w:val="22"/>
          <w:rtl/>
        </w:rPr>
        <w:t>עיון במדרש הכתובים של התנאים</w:t>
      </w:r>
      <w:r>
        <w:rPr>
          <w:sz w:val="22"/>
        </w:rPr>
        <w:t xml:space="preserve"> </w:t>
      </w:r>
      <w:r>
        <w:rPr>
          <w:rFonts w:ascii="אילת" w:hAnsi="אילת" w:cs="אילת"/>
          <w:sz w:val="22"/>
          <w:szCs w:val="22"/>
          <w:rtl/>
        </w:rPr>
        <w:t xml:space="preserve">להוראת הביטוי עליו מפרש בקבלה </w:t>
      </w:r>
      <w:r>
        <w:rPr>
          <w:rFonts w:ascii="אילת" w:hAnsi="אילת"/>
          <w:noProof w:val="0"/>
          <w:sz w:val="22"/>
        </w:rPr>
        <w:t xml:space="preserve">: </w:t>
      </w:r>
    </w:p>
    <w:p w:rsidR="00C71FD3" w:rsidRDefault="00C71FD3" w:rsidP="00C71FD3">
      <w:pPr>
        <w:pStyle w:val="FootnoteText"/>
        <w:spacing w:line="240" w:lineRule="auto"/>
        <w:ind w:firstLine="0"/>
        <w:jc w:val="left"/>
        <w:rPr>
          <w:sz w:val="22"/>
        </w:rPr>
      </w:pPr>
      <w:r>
        <w:rPr>
          <w:sz w:val="22"/>
        </w:rPr>
        <w:t>as well as for various insights that he shared with me in private conversation during the early stages of my research.</w:t>
      </w:r>
    </w:p>
  </w:footnote>
  <w:footnote w:id="14">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Thus, Dimant states that the Community saw the “mysteries of God” to be “the secrets of the divine fore-ordained plan of history according to which all human events take place (cf., </w:t>
      </w:r>
      <w:r>
        <w:rPr>
          <w:i/>
          <w:sz w:val="22"/>
        </w:rPr>
        <w:t>e.g.</w:t>
      </w:r>
      <w:r>
        <w:rPr>
          <w:sz w:val="22"/>
        </w:rPr>
        <w:t xml:space="preserve">, 1QS 3:23).”  These mysteries, which were communicated by the prophets, “include the significance of the entire sequence of history from the remote past to the </w:t>
      </w:r>
      <w:r>
        <w:rPr>
          <w:i/>
          <w:sz w:val="22"/>
        </w:rPr>
        <w:t>eschaton</w:t>
      </w:r>
      <w:r>
        <w:rPr>
          <w:sz w:val="22"/>
        </w:rPr>
        <w:t xml:space="preserve">” with the final age being of greatest interest to the sect (“Qumran Sectarian Literature,” M. E. Stone, ed., </w:t>
      </w:r>
      <w:r>
        <w:rPr>
          <w:i/>
          <w:sz w:val="22"/>
        </w:rPr>
        <w:t xml:space="preserve">The Jewish Writings of the Second Temple Period </w:t>
      </w:r>
      <w:r>
        <w:rPr>
          <w:sz w:val="22"/>
        </w:rPr>
        <w:t>[CRINT,</w:t>
      </w:r>
      <w:r>
        <w:rPr>
          <w:i/>
          <w:sz w:val="22"/>
        </w:rPr>
        <w:t xml:space="preserve"> </w:t>
      </w:r>
      <w:r>
        <w:rPr>
          <w:sz w:val="22"/>
        </w:rPr>
        <w:t xml:space="preserve">vol. 2; Assen: Van Gorcum/ Philadelphia: Fortress Press, 1984], 508).  Cf. A. Lange, “The Essene Position on Magic and Divination,” M. J. Bernstein, F. García Martínez and J. Kampen, ed., </w:t>
      </w:r>
      <w:r>
        <w:rPr>
          <w:i/>
          <w:sz w:val="22"/>
        </w:rPr>
        <w:t>Legal Texts and Legal Issues</w:t>
      </w:r>
      <w:r>
        <w:rPr>
          <w:sz w:val="22"/>
        </w:rPr>
        <w:t xml:space="preserve"> (Leiden: Brill, 1997), 426-27.  Contrast Doudna’s position, especially his argument that </w:t>
      </w:r>
      <w:r>
        <w:rPr>
          <w:i/>
          <w:sz w:val="22"/>
        </w:rPr>
        <w:t>ex eventu</w:t>
      </w:r>
      <w:r>
        <w:rPr>
          <w:sz w:val="22"/>
        </w:rPr>
        <w:t xml:space="preserve"> prophecy is not found in </w:t>
      </w:r>
      <w:r>
        <w:rPr>
          <w:i/>
          <w:sz w:val="22"/>
        </w:rPr>
        <w:t>pesher</w:t>
      </w:r>
      <w:r>
        <w:rPr>
          <w:sz w:val="22"/>
        </w:rPr>
        <w:t xml:space="preserve"> (</w:t>
      </w:r>
      <w:r>
        <w:rPr>
          <w:i/>
          <w:sz w:val="22"/>
        </w:rPr>
        <w:t>4Q Pesher Nahum</w:t>
      </w:r>
      <w:r>
        <w:rPr>
          <w:sz w:val="22"/>
        </w:rPr>
        <w:t xml:space="preserve">, 59).  I would agree with Doudna that references to past events in </w:t>
      </w:r>
      <w:r>
        <w:rPr>
          <w:i/>
          <w:sz w:val="22"/>
        </w:rPr>
        <w:t>pesher</w:t>
      </w:r>
      <w:r>
        <w:rPr>
          <w:sz w:val="22"/>
        </w:rPr>
        <w:t xml:space="preserve"> are not of general antiquarian interest, but aim to place the historical event in an eschatological context.  Still, I maintain that these past events are presented as fulfillments of biblical prophetic predictions, and not merely as “background” to predictions of the future.</w:t>
      </w:r>
    </w:p>
  </w:footnote>
  <w:footnote w:id="15">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Mandel describes the expression </w:t>
      </w:r>
      <w:r>
        <w:rPr>
          <w:rFonts w:ascii="אילת" w:hAnsi="אילת" w:cs="אילת" w:hint="cs"/>
          <w:sz w:val="22"/>
          <w:szCs w:val="22"/>
          <w:rtl/>
        </w:rPr>
        <w:t>עליו מפרש בקבלה</w:t>
      </w:r>
      <w:r>
        <w:rPr>
          <w:sz w:val="22"/>
        </w:rPr>
        <w:t xml:space="preserve"> as referring to an activity in which “verses in the later [biblical] books…are interpreted as referring, in an oblique way, to earlier biblical events” (“Midrashic Exegesis,” 158-59).  He associates this with the term “back-referencing” used by J. Kugel (</w:t>
      </w:r>
      <w:r>
        <w:rPr>
          <w:i/>
          <w:sz w:val="22"/>
        </w:rPr>
        <w:t>In Potiphar’s House</w:t>
      </w:r>
      <w:r>
        <w:rPr>
          <w:sz w:val="22"/>
        </w:rPr>
        <w:t xml:space="preserve"> [Cambridge: Harvard University Press, 1994], 261).  Mandel indicates that the tannaitic rabbis related the messages of the prophets to the past, while the Qumran Community placed them in the eschatological present.  The later rabbis placed them in both periods, and even expanded the range of applications to the conceptual plane.</w:t>
      </w:r>
    </w:p>
  </w:footnote>
  <w:footnote w:id="16">
    <w:p w:rsidR="00C71FD3" w:rsidRDefault="00C71FD3" w:rsidP="00C71FD3">
      <w:pPr>
        <w:ind w:right="86"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“Prophetische Verkündigung hat zum Inhalt das Ende, und Die Gegenwart ist die Endzeit” (</w:t>
      </w:r>
      <w:r>
        <w:rPr>
          <w:rFonts w:ascii="Times New Roman" w:hAnsi="Times New Roman"/>
          <w:i/>
          <w:sz w:val="22"/>
        </w:rPr>
        <w:t>Studien zum Habakuk-Kommentar vom Toten Meer</w:t>
      </w:r>
      <w:r>
        <w:rPr>
          <w:rFonts w:ascii="Times New Roman" w:hAnsi="Times New Roman"/>
          <w:sz w:val="22"/>
        </w:rPr>
        <w:t xml:space="preserve"> [BHT 15; Tübingen: J.C.B. Mohr, 1953], 150).  This quote has become the standard epigrammatic representation of Elliger’s contribution to our topic.  Brownlee’s first “hermeneutical principle” of </w:t>
      </w:r>
      <w:r>
        <w:rPr>
          <w:rFonts w:ascii="Times New Roman" w:hAnsi="Times New Roman"/>
          <w:i/>
          <w:sz w:val="22"/>
        </w:rPr>
        <w:t>pesher</w:t>
      </w:r>
      <w:r>
        <w:rPr>
          <w:rFonts w:ascii="Times New Roman" w:hAnsi="Times New Roman"/>
          <w:sz w:val="22"/>
        </w:rPr>
        <w:t xml:space="preserve"> was that “everything the ancient prophet wrote has a </w:t>
      </w:r>
      <w:r>
        <w:rPr>
          <w:rFonts w:ascii="Times New Roman" w:hAnsi="Times New Roman"/>
          <w:i/>
          <w:sz w:val="22"/>
        </w:rPr>
        <w:t>veiled, eschatological meaning</w:t>
      </w:r>
      <w:r>
        <w:rPr>
          <w:rFonts w:ascii="Times New Roman" w:hAnsi="Times New Roman"/>
          <w:sz w:val="22"/>
        </w:rPr>
        <w:t>” (“Biblical Interpretation,” 60).</w:t>
      </w:r>
    </w:p>
    <w:p w:rsidR="00C71FD3" w:rsidRDefault="00C71FD3" w:rsidP="00C71FD3">
      <w:pPr>
        <w:ind w:right="86" w:firstLine="180"/>
        <w:rPr>
          <w:rFonts w:ascii="Times New Roman" w:hAnsi="Times New Roman"/>
          <w:sz w:val="22"/>
        </w:rPr>
      </w:pPr>
      <w:r>
        <w:rPr>
          <w:rFonts w:ascii="Times New Roman" w:hAnsi="Times New Roman"/>
          <w:sz w:val="22"/>
        </w:rPr>
        <w:t xml:space="preserve">The second half of Elliger’s principle emphasizes the concept of the “eschatological present” mentioned above.  A number of scholars have contrasted the Qumran Community’s anticipation of future salvation with the early Christian sense that “the new has come” (2 Cor 5:17).  So, O. Betz, “Past Events and Last Events in the Qumran Interpretation of History,” </w:t>
      </w:r>
      <w:r>
        <w:rPr>
          <w:rFonts w:ascii="Times New Roman" w:hAnsi="Times New Roman"/>
          <w:i/>
          <w:sz w:val="22"/>
        </w:rPr>
        <w:t>WCJS</w:t>
      </w:r>
      <w:r>
        <w:rPr>
          <w:rFonts w:ascii="Times New Roman" w:hAnsi="Times New Roman"/>
          <w:sz w:val="22"/>
        </w:rPr>
        <w:t xml:space="preserve"> 6 (1977) 27-34.  Cf. F. F. Bruce, </w:t>
      </w:r>
      <w:r>
        <w:rPr>
          <w:rFonts w:ascii="Times New Roman" w:hAnsi="Times New Roman"/>
          <w:i/>
          <w:sz w:val="22"/>
        </w:rPr>
        <w:t>Biblical Exegesis in the Qumran Texts</w:t>
      </w:r>
      <w:r>
        <w:rPr>
          <w:rFonts w:ascii="Times New Roman" w:hAnsi="Times New Roman"/>
          <w:sz w:val="22"/>
        </w:rPr>
        <w:t xml:space="preserve"> (Grand Rapids: Eerdmans, 1959), 68; Fitzmyer, “The Use of Explicit Old Testament Quotations,” 13.  Whereas early Christianity saw the past as having been supplanted by the present, Qumran’s “typological exegesis” viewed the biblical past as paradigmatic for the future (“Past Events,” 33; Betz adopted the term from D. Flusser, </w:t>
      </w:r>
      <w:r>
        <w:rPr>
          <w:rFonts w:ascii="אילת" w:hAnsi="אילת" w:cs="אילת" w:hint="cs"/>
          <w:sz w:val="22"/>
          <w:szCs w:val="22"/>
          <w:rtl/>
        </w:rPr>
        <w:t>פרושים</w:t>
      </w:r>
      <w:r>
        <w:rPr>
          <w:rFonts w:ascii="אילת" w:hAnsi="אילת" w:hint="cs"/>
          <w:sz w:val="22"/>
        </w:rPr>
        <w:t xml:space="preserve"> </w:t>
      </w:r>
      <w:r>
        <w:rPr>
          <w:rFonts w:ascii="אילת" w:hAnsi="אילת" w:cs="אילת" w:hint="cs"/>
          <w:sz w:val="22"/>
          <w:szCs w:val="22"/>
          <w:rtl/>
        </w:rPr>
        <w:t>צדוקים</w:t>
      </w:r>
      <w:r>
        <w:rPr>
          <w:rFonts w:ascii="אילת" w:hAnsi="אילת" w:hint="cs"/>
          <w:sz w:val="22"/>
        </w:rPr>
        <w:t xml:space="preserve">, </w:t>
      </w:r>
      <w:r>
        <w:rPr>
          <w:rFonts w:ascii="אילת" w:hAnsi="אילת" w:cs="אילת" w:hint="cs"/>
          <w:sz w:val="22"/>
          <w:szCs w:val="22"/>
          <w:rtl/>
        </w:rPr>
        <w:t>ואסיים</w:t>
      </w:r>
      <w:r>
        <w:rPr>
          <w:rFonts w:ascii="אילת" w:hAnsi="אילת" w:hint="cs"/>
          <w:sz w:val="22"/>
        </w:rPr>
        <w:t xml:space="preserve"> </w:t>
      </w:r>
      <w:r>
        <w:rPr>
          <w:rFonts w:ascii="אילת" w:hAnsi="אילת" w:cs="אילת" w:hint="cs"/>
          <w:sz w:val="22"/>
          <w:szCs w:val="22"/>
          <w:rtl/>
        </w:rPr>
        <w:t>בפשר</w:t>
      </w:r>
      <w:r>
        <w:rPr>
          <w:rFonts w:ascii="אילת" w:hAnsi="אילת" w:hint="cs"/>
          <w:sz w:val="22"/>
        </w:rPr>
        <w:t xml:space="preserve"> </w:t>
      </w:r>
      <w:r>
        <w:rPr>
          <w:rFonts w:ascii="אילת" w:hAnsi="אילת" w:cs="אילת" w:hint="cs"/>
          <w:sz w:val="22"/>
          <w:szCs w:val="22"/>
          <w:rtl/>
        </w:rPr>
        <w:t>נחום</w:t>
      </w:r>
      <w:r>
        <w:rPr>
          <w:rFonts w:ascii="Times New Roman" w:hAnsi="Times New Roman"/>
          <w:sz w:val="22"/>
        </w:rPr>
        <w:t xml:space="preserve">",” </w:t>
      </w:r>
      <w:r>
        <w:rPr>
          <w:rFonts w:ascii="Times New Roman" w:hAnsi="Times New Roman"/>
          <w:i/>
          <w:sz w:val="22"/>
        </w:rPr>
        <w:t>Essays in Jewish History and Philology, in Memory of Gedaliahu Alon</w:t>
      </w:r>
      <w:r>
        <w:rPr>
          <w:rFonts w:ascii="Times New Roman" w:hAnsi="Times New Roman"/>
          <w:sz w:val="22"/>
        </w:rPr>
        <w:t xml:space="preserve"> (Tel Aviv: Hakibbutz Hameuchad, 1970), 133-68; [= “Pharisäer, Sadduzäer und Essener im Pescher Nahum,” K. E. Grözinger et al., ed., </w:t>
      </w:r>
      <w:r>
        <w:rPr>
          <w:rFonts w:ascii="Times New Roman" w:hAnsi="Times New Roman"/>
          <w:i/>
          <w:sz w:val="22"/>
        </w:rPr>
        <w:t>Qumran</w:t>
      </w:r>
      <w:r>
        <w:rPr>
          <w:rFonts w:ascii="Times New Roman" w:hAnsi="Times New Roman"/>
          <w:sz w:val="22"/>
        </w:rPr>
        <w:t xml:space="preserve"> (Darmstadt: Wissenschaftliche Buchgesellschaft, 1981]).</w:t>
      </w:r>
    </w:p>
    <w:p w:rsidR="00C71FD3" w:rsidRDefault="00C71FD3" w:rsidP="00C71FD3">
      <w:pPr>
        <w:ind w:right="86" w:firstLine="180"/>
        <w:rPr>
          <w:rFonts w:ascii="Times New Roman" w:hAnsi="Times New Roman"/>
          <w:sz w:val="22"/>
        </w:rPr>
      </w:pPr>
      <w:r>
        <w:rPr>
          <w:rFonts w:ascii="Times New Roman" w:hAnsi="Times New Roman"/>
          <w:sz w:val="22"/>
        </w:rPr>
        <w:t xml:space="preserve">This contrast is important, but following Elliger it must be equally stressed that the Community saw this future as having already begun; there is a partial sense of  “realized eschatology” at Qumran.  Thus, even Betz states, “the present has eschatological significance” (34) and “past events permeate the present, thereby revealing its significance, and they reach out for the future” (33).  Cf. MMT C 20-22 “And we know that some of the blessings and the curses have (already) been fulfilled as it is written in the bo[ok of Mo]ses.  And this is at the end of days...” (in E. Qimron and J. Strugnell, </w:t>
      </w:r>
      <w:r>
        <w:rPr>
          <w:rFonts w:ascii="Times New Roman" w:hAnsi="Times New Roman"/>
          <w:i/>
          <w:sz w:val="22"/>
        </w:rPr>
        <w:t xml:space="preserve">Qumran Cave 4. Miqsat </w:t>
      </w:r>
      <w:r>
        <w:rPr>
          <w:rFonts w:ascii="Times New Roman" w:hAnsi="Times New Roman"/>
          <w:i/>
          <w:sz w:val="22"/>
          <w:lang w:val="fr-FR"/>
        </w:rPr>
        <w:t>Ma’a</w:t>
      </w:r>
      <w:r>
        <w:rPr>
          <w:rFonts w:ascii="Times New Roman" w:hAnsi="Times New Roman"/>
          <w:i/>
          <w:sz w:val="22"/>
        </w:rPr>
        <w:t>s</w:t>
      </w:r>
      <w:r>
        <w:rPr>
          <w:rFonts w:ascii="Times New Roman" w:hAnsi="Times New Roman"/>
          <w:i/>
          <w:sz w:val="22"/>
          <w:lang w:val="fr-FR"/>
        </w:rPr>
        <w:t>e</w:t>
      </w:r>
      <w:r>
        <w:rPr>
          <w:rFonts w:ascii="Times New Roman" w:hAnsi="Times New Roman"/>
          <w:i/>
          <w:sz w:val="22"/>
        </w:rPr>
        <w:t xml:space="preserve"> Ha-Torah</w:t>
      </w:r>
      <w:r>
        <w:rPr>
          <w:rFonts w:ascii="Times New Roman" w:hAnsi="Times New Roman"/>
          <w:sz w:val="22"/>
        </w:rPr>
        <w:t xml:space="preserve"> [DJD 10; Oxford: Clarendon Press, 1994], 61).</w:t>
      </w:r>
    </w:p>
  </w:footnote>
  <w:footnote w:id="17">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So, too, 1QpHab 2:7-10 on Hab 1:5, “all which is to come upon the last generation” is told by “the priest, into whose heart God placed knowledge to interpret </w:t>
      </w:r>
      <w:r>
        <w:rPr>
          <w:rFonts w:hint="cs"/>
          <w:sz w:val="22"/>
        </w:rPr>
        <w:t>(</w:t>
      </w:r>
      <w:r>
        <w:rPr>
          <w:rFonts w:ascii="אילת" w:hAnsi="אילת" w:cs="אילת" w:hint="cs"/>
          <w:sz w:val="22"/>
          <w:szCs w:val="22"/>
          <w:rtl/>
        </w:rPr>
        <w:t>לפשור</w:t>
      </w:r>
      <w:r>
        <w:rPr>
          <w:sz w:val="22"/>
        </w:rPr>
        <w:t>) all the words of the prophets by whose hand God recounted all which is to come upon his nation and[...”</w:t>
      </w:r>
    </w:p>
  </w:footnote>
  <w:footnote w:id="18">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For example, in 4Q169</w:t>
      </w:r>
      <w:r>
        <w:rPr>
          <w:i/>
          <w:sz w:val="22"/>
        </w:rPr>
        <w:t>Pesher Nahum</w:t>
      </w:r>
      <w:r>
        <w:rPr>
          <w:sz w:val="22"/>
        </w:rPr>
        <w:t xml:space="preserve">, frags. 3-4, the last three columns feature eschatological terminology: </w:t>
      </w:r>
      <w:r>
        <w:rPr>
          <w:rFonts w:ascii="אילת" w:hAnsi="אילת" w:cs="אילת" w:hint="cs"/>
          <w:sz w:val="22"/>
          <w:szCs w:val="22"/>
          <w:rtl/>
        </w:rPr>
        <w:t>אחרית הימים</w:t>
      </w:r>
      <w:r>
        <w:rPr>
          <w:rFonts w:ascii="אילת" w:hAnsi="אילת"/>
          <w:noProof w:val="0"/>
          <w:sz w:val="22"/>
        </w:rPr>
        <w:t xml:space="preserve">, </w:t>
      </w:r>
      <w:r>
        <w:rPr>
          <w:rFonts w:ascii="אילת" w:hAnsi="אילת" w:cs="אילת" w:hint="cs"/>
          <w:sz w:val="22"/>
          <w:szCs w:val="22"/>
          <w:rtl/>
        </w:rPr>
        <w:t>אחרית הקץ</w:t>
      </w:r>
      <w:r>
        <w:rPr>
          <w:rFonts w:ascii="אילת" w:hAnsi="אילת"/>
          <w:noProof w:val="0"/>
          <w:sz w:val="22"/>
        </w:rPr>
        <w:t xml:space="preserve">, </w:t>
      </w:r>
      <w:r>
        <w:rPr>
          <w:rFonts w:ascii="אילת" w:hAnsi="אילת" w:cs="אילת" w:hint="cs"/>
          <w:sz w:val="22"/>
          <w:szCs w:val="22"/>
          <w:rtl/>
        </w:rPr>
        <w:t>קץ אחרון</w:t>
      </w:r>
      <w:r>
        <w:rPr>
          <w:sz w:val="22"/>
        </w:rPr>
        <w:t>, but col. i does not.  Moreover, the dominant understanding of this composition associates col. i with Alexander Jannaeus, while positing a later context for the other columns.  Thus, col. i would appear to pre-date the “End of Days” of the later columns.</w:t>
      </w:r>
    </w:p>
  </w:footnote>
  <w:footnote w:id="19">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In “</w:t>
      </w:r>
      <w:r>
        <w:rPr>
          <w:rFonts w:ascii="אילת" w:hAnsi="אילת" w:cs="אילת" w:hint="cs"/>
          <w:sz w:val="22"/>
          <w:szCs w:val="22"/>
          <w:rtl/>
        </w:rPr>
        <w:t>אחרית הימים</w:t>
      </w:r>
      <w:r>
        <w:rPr>
          <w:sz w:val="22"/>
        </w:rPr>
        <w:t xml:space="preserve"> in the Texts From Qumran,” </w:t>
      </w:r>
      <w:r>
        <w:rPr>
          <w:i/>
          <w:sz w:val="22"/>
        </w:rPr>
        <w:t>RevQ</w:t>
      </w:r>
      <w:r>
        <w:rPr>
          <w:sz w:val="22"/>
        </w:rPr>
        <w:t xml:space="preserve"> 16 (1993-94) 225-46.  Cf. Doudna, </w:t>
      </w:r>
      <w:r>
        <w:rPr>
          <w:i/>
          <w:sz w:val="22"/>
        </w:rPr>
        <w:t>4Q Pesher  Nahum</w:t>
      </w:r>
      <w:r>
        <w:rPr>
          <w:sz w:val="22"/>
        </w:rPr>
        <w:t>, 63-66.</w:t>
      </w:r>
    </w:p>
  </w:footnote>
  <w:footnote w:id="20">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In n. 14 above, it was claimed that “history” encompasses eschatological, and even future, events; here the claim is that the “eschatological age” encompasses past events.  These complementary observations can be viewed as corollaries to Elliger’s principles.</w:t>
      </w:r>
    </w:p>
  </w:footnote>
  <w:footnote w:id="21">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w:t>
      </w:r>
      <w:r>
        <w:rPr>
          <w:rFonts w:ascii="אילת" w:hAnsi="אילת" w:cs="אילת" w:hint="cs"/>
          <w:sz w:val="22"/>
          <w:szCs w:val="22"/>
          <w:rtl/>
        </w:rPr>
        <w:t>מגלת פשר חבקוק</w:t>
      </w:r>
      <w:r>
        <w:rPr>
          <w:sz w:val="22"/>
        </w:rPr>
        <w:t xml:space="preserve"> (</w:t>
      </w:r>
      <w:r>
        <w:rPr>
          <w:i/>
          <w:sz w:val="22"/>
        </w:rPr>
        <w:t>1QpHab</w:t>
      </w:r>
      <w:r>
        <w:rPr>
          <w:sz w:val="22"/>
        </w:rPr>
        <w:t>), (Jerusalem: Mosad Bialik, 1986), 12-19.</w:t>
      </w:r>
    </w:p>
  </w:footnote>
  <w:footnote w:id="22">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w:t>
      </w:r>
      <w:r>
        <w:rPr>
          <w:i/>
          <w:sz w:val="22"/>
        </w:rPr>
        <w:t>ibid</w:t>
      </w:r>
      <w:r>
        <w:rPr>
          <w:sz w:val="22"/>
        </w:rPr>
        <w:t xml:space="preserve">., 19-28.  Nitzan contextualizes these concepts within apocalyptic tradition.  Similarly, J. J. Collins views determinism as a key feature of Qumran </w:t>
      </w:r>
      <w:r>
        <w:rPr>
          <w:i/>
          <w:sz w:val="22"/>
        </w:rPr>
        <w:t>pesher</w:t>
      </w:r>
      <w:r>
        <w:rPr>
          <w:sz w:val="22"/>
        </w:rPr>
        <w:t xml:space="preserve"> (“Jewish Apocalyptic Against its Hellenistic Near Eastern Environment,” </w:t>
      </w:r>
      <w:r>
        <w:rPr>
          <w:i/>
          <w:sz w:val="22"/>
        </w:rPr>
        <w:t>BASOR</w:t>
      </w:r>
      <w:r>
        <w:rPr>
          <w:sz w:val="22"/>
        </w:rPr>
        <w:t xml:space="preserve"> 220 [1975] 31-34).  He compares the </w:t>
      </w:r>
      <w:r>
        <w:rPr>
          <w:i/>
          <w:sz w:val="22"/>
        </w:rPr>
        <w:t>pesharim</w:t>
      </w:r>
      <w:r>
        <w:rPr>
          <w:sz w:val="22"/>
        </w:rPr>
        <w:t xml:space="preserve"> to the Egyptian Demotic Oracle, and associates the “prophecy by interpretation” in these works with Hellenistic political oracles and with the phenomenon of pseudepigraphy.  In describing a broad Hellenistic Near Eastern apocalyptic “</w:t>
      </w:r>
      <w:r>
        <w:rPr>
          <w:i/>
          <w:sz w:val="22"/>
        </w:rPr>
        <w:t>Zeitgeist</w:t>
      </w:r>
      <w:r>
        <w:rPr>
          <w:sz w:val="22"/>
        </w:rPr>
        <w:t>,” Collins further maintains that “like the esteem for antiquity, [determinism] attests to a sense of alienation from the present” (34).</w:t>
      </w:r>
    </w:p>
  </w:footnote>
  <w:footnote w:id="23">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“Subject Matter”, 53.  Cf. the objections of Brooke, “Qumran Pesher,” 486-87, though in a different context, Brooke does emphasize the association of the term “latter days” with </w:t>
      </w:r>
      <w:r>
        <w:rPr>
          <w:i/>
          <w:sz w:val="22"/>
        </w:rPr>
        <w:t>pesharim</w:t>
      </w:r>
      <w:r>
        <w:rPr>
          <w:sz w:val="22"/>
        </w:rPr>
        <w:t xml:space="preserve"> (“The Genre of 4Q252,” 174).</w:t>
      </w:r>
    </w:p>
  </w:footnote>
  <w:footnote w:id="24">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There is of course some degree of circularity inherent in this observation, since our starting point is that the </w:t>
      </w:r>
      <w:r>
        <w:rPr>
          <w:i/>
          <w:sz w:val="22"/>
        </w:rPr>
        <w:t>pesharim</w:t>
      </w:r>
      <w:r>
        <w:rPr>
          <w:sz w:val="22"/>
        </w:rPr>
        <w:t xml:space="preserve"> use the base-texts for just such applications. To minimize the impact of this circularity, I have intentionally characterized the biblical base-text, </w:t>
      </w:r>
      <w:r>
        <w:rPr>
          <w:i/>
          <w:sz w:val="22"/>
        </w:rPr>
        <w:t>without</w:t>
      </w:r>
      <w:r>
        <w:rPr>
          <w:sz w:val="22"/>
        </w:rPr>
        <w:t xml:space="preserve"> reference to its use by the </w:t>
      </w:r>
      <w:r>
        <w:rPr>
          <w:i/>
          <w:sz w:val="22"/>
        </w:rPr>
        <w:t>pesher</w:t>
      </w:r>
      <w:r>
        <w:rPr>
          <w:sz w:val="22"/>
        </w:rPr>
        <w:t xml:space="preserve"> (as a corrective to Roth’s approach in “Subject Matter”).</w:t>
      </w:r>
    </w:p>
  </w:footnote>
  <w:footnote w:id="25">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It must be noted that determining “eschatological” content is not an entirely objective task, and that perhaps even the term </w:t>
      </w:r>
      <w:r>
        <w:rPr>
          <w:rFonts w:ascii="אילת" w:hAnsi="אילת" w:cs="אילת" w:hint="cs"/>
          <w:sz w:val="22"/>
          <w:szCs w:val="22"/>
          <w:rtl/>
        </w:rPr>
        <w:t>אחרית הימים</w:t>
      </w:r>
      <w:r>
        <w:rPr>
          <w:sz w:val="22"/>
        </w:rPr>
        <w:t xml:space="preserve"> is neither a necessary nor sufficient indicator.  Thus, in </w:t>
      </w:r>
      <w:r>
        <w:rPr>
          <w:i/>
          <w:sz w:val="22"/>
        </w:rPr>
        <w:t>ABD</w:t>
      </w:r>
      <w:r>
        <w:rPr>
          <w:sz w:val="22"/>
        </w:rPr>
        <w:t xml:space="preserve">, G. W. E. Nickelsburg identifies “eschatological” material in every chapter of Ezekiel 34-48, except chapters 38-39, the Gog prophecies, in which the phrase </w:t>
      </w:r>
      <w:r>
        <w:rPr>
          <w:rFonts w:ascii="אילת" w:hAnsi="אילת" w:cs="אילת" w:hint="cs"/>
          <w:sz w:val="22"/>
          <w:szCs w:val="22"/>
          <w:rtl/>
        </w:rPr>
        <w:t>אחרית הימים</w:t>
      </w:r>
      <w:r>
        <w:rPr>
          <w:sz w:val="22"/>
        </w:rPr>
        <w:t xml:space="preserve"> actually appears (</w:t>
      </w:r>
      <w:r>
        <w:rPr>
          <w:i/>
          <w:sz w:val="22"/>
        </w:rPr>
        <w:t xml:space="preserve">s.v. </w:t>
      </w:r>
      <w:r>
        <w:rPr>
          <w:sz w:val="22"/>
        </w:rPr>
        <w:t xml:space="preserve">“Eschatology,”sub-heading “Ezekiel,” 581; he refers only to chapters 34-37, 40-48).  </w:t>
      </w:r>
    </w:p>
  </w:footnote>
  <w:footnote w:id="26">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The base-text of </w:t>
      </w:r>
      <w:r>
        <w:rPr>
          <w:i/>
          <w:sz w:val="22"/>
        </w:rPr>
        <w:t>Pesher Habakkuk</w:t>
      </w:r>
      <w:r>
        <w:rPr>
          <w:sz w:val="22"/>
        </w:rPr>
        <w:t xml:space="preserve"> is concerned with divine retribution against the wicked, and divine salvation of the righteous.  Chapter 2, God’s response to Habakkuk, has been described as the eschatological section of the book by Y. Kaufman </w:t>
      </w:r>
      <w:r>
        <w:rPr>
          <w:rFonts w:ascii="אילת" w:hAnsi="אילת" w:cs="אילת" w:hint="cs"/>
          <w:sz w:val="22"/>
          <w:szCs w:val="22"/>
          <w:rtl/>
        </w:rPr>
        <w:t>תולדות האומה הישראלית</w:t>
      </w:r>
      <w:r>
        <w:rPr>
          <w:sz w:val="22"/>
        </w:rPr>
        <w:t xml:space="preserve"> (vol. 3, book 2; Tel Aviv: Mosad Bialik, 1966), 360-65 (cited in Nitzan, in reference to </w:t>
      </w:r>
      <w:r>
        <w:rPr>
          <w:rFonts w:ascii="אילת" w:hAnsi="אילת" w:cs="אילת" w:hint="cs"/>
          <w:sz w:val="22"/>
          <w:szCs w:val="22"/>
          <w:rtl/>
        </w:rPr>
        <w:t>אחרית הימים</w:t>
      </w:r>
      <w:r>
        <w:rPr>
          <w:sz w:val="22"/>
        </w:rPr>
        <w:t xml:space="preserve">, in </w:t>
      </w:r>
      <w:r>
        <w:rPr>
          <w:rFonts w:ascii="אילת" w:hAnsi="אילת" w:cs="אילת" w:hint="cs"/>
          <w:sz w:val="22"/>
          <w:szCs w:val="22"/>
          <w:rtl/>
        </w:rPr>
        <w:t>מגלת פשר חבקוק</w:t>
      </w:r>
      <w:r>
        <w:rPr>
          <w:sz w:val="22"/>
        </w:rPr>
        <w:t xml:space="preserve">, 74 n. 131).  In Hab 2:3, </w:t>
      </w:r>
      <w:r>
        <w:rPr>
          <w:rFonts w:ascii="אילת" w:hAnsi="אילת" w:cs="אילת" w:hint="cs"/>
          <w:sz w:val="22"/>
          <w:szCs w:val="22"/>
          <w:rtl/>
        </w:rPr>
        <w:t>כי עוד חזון למועד ויפיח לקץ</w:t>
      </w:r>
      <w:r>
        <w:rPr>
          <w:sz w:val="22"/>
        </w:rPr>
        <w:t xml:space="preserve">, we may take </w:t>
      </w:r>
      <w:r>
        <w:rPr>
          <w:rFonts w:ascii="אילת" w:hAnsi="אילת" w:cs="אילת" w:hint="cs"/>
          <w:sz w:val="22"/>
          <w:szCs w:val="22"/>
          <w:rtl/>
        </w:rPr>
        <w:t>קץ</w:t>
      </w:r>
      <w:r>
        <w:rPr>
          <w:sz w:val="22"/>
        </w:rPr>
        <w:t xml:space="preserve"> as a technical, eschatological term.  Although the author of the book of Habakkuk does not himself claim to describe the “end-time,” the </w:t>
      </w:r>
      <w:r>
        <w:rPr>
          <w:i/>
          <w:sz w:val="22"/>
        </w:rPr>
        <w:t>pesher</w:t>
      </w:r>
      <w:r>
        <w:rPr>
          <w:sz w:val="22"/>
        </w:rPr>
        <w:t xml:space="preserve"> assumes that Habakkuk perceived himself as doing so.  The passage in 1QpHab 7:1-8, cited above, not only describes the prophecy as eschatological, but also implies that the prophet himself shared the perception: God told Habakkuk to record that which would befall the last generation.</w:t>
      </w:r>
    </w:p>
  </w:footnote>
  <w:footnote w:id="27">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The extant fragment of this work is a citation of Zeph 1:18-2:2 with a beginning of a </w:t>
      </w:r>
      <w:r>
        <w:rPr>
          <w:i/>
          <w:sz w:val="22"/>
        </w:rPr>
        <w:t>pesher</w:t>
      </w:r>
      <w:r>
        <w:rPr>
          <w:sz w:val="22"/>
        </w:rPr>
        <w:t>.  Chapter 1 of Zephania does not use the term “last” or “end,” but it is the classic description of the eschatological “Day of the Lord,” the apocalypticists’ doomsday.  The cited passage describes the “day of God’s wrath.”</w:t>
      </w:r>
    </w:p>
  </w:footnote>
  <w:footnote w:id="28">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Chapters 10-11 of Isaiah are traditionally understood eschatologically, though explicit eschatological terminology is not as pervasive as might be expected from this paradigmatic messianic text.  “On that day” (10:27) points in such a direction.</w:t>
      </w:r>
    </w:p>
  </w:footnote>
  <w:footnote w:id="29">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The scope of the passages covered by this poorly-preserved papyrus is not clear.  Isaiah 9-10 and 29-30 comprise the bulk of the extant citations.  These chapters, as was noted in reference to 4QpIsa</w:t>
      </w:r>
      <w:r>
        <w:rPr>
          <w:sz w:val="22"/>
          <w:vertAlign w:val="superscript"/>
        </w:rPr>
        <w:t>a</w:t>
      </w:r>
      <w:r>
        <w:rPr>
          <w:sz w:val="22"/>
        </w:rPr>
        <w:t>, do not explicitly use the terminology of “end of days” or “last days,” but are thematically “eschatological” in that they describe divine retribution and salvation on a cosmically significant scale.</w:t>
      </w:r>
    </w:p>
  </w:footnote>
  <w:footnote w:id="30">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Isaiah 54 does not use the terminology of “last” or “final” days, but is thematically, and certainly traditionally, “eschatological.”  Terminologically, “eternal loving-kindness” contrasted with momentary wrath (v. 8), seems to be close to explicit eschatology.</w:t>
      </w:r>
    </w:p>
  </w:footnote>
  <w:footnote w:id="31">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This is a small fragment with 1:12, 13 and some </w:t>
      </w:r>
      <w:r>
        <w:rPr>
          <w:i/>
          <w:sz w:val="22"/>
        </w:rPr>
        <w:t>pesher</w:t>
      </w:r>
      <w:r>
        <w:rPr>
          <w:sz w:val="22"/>
        </w:rPr>
        <w:t>.  See our comment on 1QpZeph, above.</w:t>
      </w:r>
    </w:p>
  </w:footnote>
  <w:footnote w:id="32">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The extant fragments of this </w:t>
      </w:r>
      <w:r>
        <w:rPr>
          <w:i/>
          <w:sz w:val="22"/>
        </w:rPr>
        <w:t>pesher</w:t>
      </w:r>
      <w:r>
        <w:rPr>
          <w:sz w:val="22"/>
        </w:rPr>
        <w:t xml:space="preserve"> treat chapters 1 and 6 of Micah, which deal with the divine punishment of sinners.  Chapters 4, 5, and 7 of this book include more “eschatologically-oriented” prophecies, describing the ultimate and eternal salvation of the righteous, but we cannot be certain that these prophecies were subjected to </w:t>
      </w:r>
      <w:r>
        <w:rPr>
          <w:i/>
          <w:sz w:val="22"/>
        </w:rPr>
        <w:t>pesher</w:t>
      </w:r>
      <w:r>
        <w:rPr>
          <w:sz w:val="22"/>
        </w:rPr>
        <w:t xml:space="preserve"> interpretation.</w:t>
      </w:r>
    </w:p>
  </w:footnote>
  <w:footnote w:id="33">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Psalm 68 refers to the punishment of sinners.  The Sinai experience is seen as a paradigm for divine immanence, and for divine presence in the Jerusalem sanctuary.  V. 17, in reference to the Mountain of God, assures that “God will dwell </w:t>
      </w:r>
      <w:r>
        <w:rPr>
          <w:i/>
          <w:sz w:val="22"/>
        </w:rPr>
        <w:t>for eternity</w:t>
      </w:r>
      <w:r>
        <w:rPr>
          <w:sz w:val="22"/>
        </w:rPr>
        <w:t>.”</w:t>
      </w:r>
    </w:p>
  </w:footnote>
  <w:footnote w:id="34">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Chapter 5 of Isaiah describes divine wrath against sinners; the </w:t>
      </w:r>
      <w:r>
        <w:rPr>
          <w:i/>
          <w:sz w:val="22"/>
        </w:rPr>
        <w:t>pesher</w:t>
      </w:r>
      <w:r>
        <w:rPr>
          <w:sz w:val="22"/>
        </w:rPr>
        <w:t xml:space="preserve"> cuts off with a possible citation of 6:9, but in 6:11-13 God avows to make Israel desolate for its sins.  If 6:9 is indeed to be restored, then the </w:t>
      </w:r>
      <w:r>
        <w:rPr>
          <w:i/>
          <w:sz w:val="22"/>
        </w:rPr>
        <w:t>pesher</w:t>
      </w:r>
      <w:r>
        <w:rPr>
          <w:sz w:val="22"/>
        </w:rPr>
        <w:t xml:space="preserve"> would have, significantly, skipped over the narrative of Isaiah’s selection and heavenly vision recorded in 6:1-8, and limited its scope to the surrounding prophetic rebukes.</w:t>
      </w:r>
    </w:p>
  </w:footnote>
  <w:footnote w:id="35">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The fragmentary state of this </w:t>
      </w:r>
      <w:r>
        <w:rPr>
          <w:i/>
          <w:sz w:val="22"/>
        </w:rPr>
        <w:t>pesher</w:t>
      </w:r>
      <w:r>
        <w:rPr>
          <w:sz w:val="22"/>
        </w:rPr>
        <w:t xml:space="preserve">, and its uncertain reconstruction, make it difficult to characterize its citations.  Some key words and phrases lend themselves to </w:t>
      </w:r>
      <w:r>
        <w:rPr>
          <w:i/>
          <w:sz w:val="22"/>
        </w:rPr>
        <w:t>pesher</w:t>
      </w:r>
      <w:r>
        <w:rPr>
          <w:sz w:val="22"/>
        </w:rPr>
        <w:t xml:space="preserve"> treatment, such as “poor ones” and “on that day.”</w:t>
      </w:r>
    </w:p>
  </w:footnote>
  <w:footnote w:id="36">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The citation and </w:t>
      </w:r>
      <w:r>
        <w:rPr>
          <w:i/>
          <w:sz w:val="22"/>
        </w:rPr>
        <w:t>pesher</w:t>
      </w:r>
      <w:r>
        <w:rPr>
          <w:sz w:val="22"/>
        </w:rPr>
        <w:t xml:space="preserve"> of only part of Hosea 2 is preserved, in which the husband refuses to take back his wayward wife, a metaphor for divine punishment of the wicked.  Presumably, the </w:t>
      </w:r>
      <w:r>
        <w:rPr>
          <w:i/>
          <w:sz w:val="22"/>
        </w:rPr>
        <w:t>pesher</w:t>
      </w:r>
      <w:r>
        <w:rPr>
          <w:sz w:val="22"/>
        </w:rPr>
        <w:t xml:space="preserve"> continued with a treatment of the rest of the chapter, which describes that “on that day,” God will renew and seal His eternal covenant with His people, an eschatological image.</w:t>
      </w:r>
    </w:p>
  </w:footnote>
  <w:footnote w:id="37">
    <w:p w:rsidR="00C71FD3" w:rsidRDefault="00C71FD3" w:rsidP="00C71FD3">
      <w:pPr>
        <w:tabs>
          <w:tab w:val="left" w:pos="-1440"/>
        </w:tabs>
        <w:ind w:firstLine="180"/>
        <w:rPr>
          <w:rFonts w:ascii="Times New Roman" w:hAnsi="Times New Roman"/>
          <w:sz w:val="22"/>
        </w:rPr>
      </w:pPr>
      <w:r>
        <w:rPr>
          <w:rFonts w:ascii="Times New Roman" w:hAnsi="Times New Roman"/>
          <w:sz w:val="22"/>
        </w:rPr>
        <w:tab/>
      </w:r>
      <w:r>
        <w:rPr>
          <w:rStyle w:val="FootnoteReference"/>
          <w:rFonts w:ascii="Times New Roman" w:hAnsi="Times New Roman"/>
          <w:sz w:val="22"/>
        </w:rPr>
        <w:footnoteRef/>
      </w:r>
      <w:r>
        <w:rPr>
          <w:rFonts w:ascii="Times New Roman" w:hAnsi="Times New Roman"/>
          <w:sz w:val="22"/>
        </w:rPr>
        <w:t xml:space="preserve"> Chapters 5 and 8 of Hosea are cited in the extant portions of this </w:t>
      </w:r>
      <w:r>
        <w:rPr>
          <w:rFonts w:ascii="Times New Roman" w:hAnsi="Times New Roman"/>
          <w:i/>
          <w:sz w:val="22"/>
        </w:rPr>
        <w:t>pesher</w:t>
      </w:r>
      <w:r>
        <w:rPr>
          <w:rFonts w:ascii="Times New Roman" w:hAnsi="Times New Roman"/>
          <w:sz w:val="22"/>
        </w:rPr>
        <w:t xml:space="preserve">.  These chapters feature Judah and Ephraim in a manner that prefigures the dualistic opposition between Judah and Ephraim found in a number of Qumran texts.  (For the identification of these terms with, respectively, the Qumran Community and the Pharisees, see, </w:t>
      </w:r>
      <w:r>
        <w:rPr>
          <w:rFonts w:ascii="Times New Roman" w:hAnsi="Times New Roman"/>
          <w:i/>
          <w:sz w:val="22"/>
        </w:rPr>
        <w:t>inter alia</w:t>
      </w:r>
      <w:r>
        <w:rPr>
          <w:rFonts w:ascii="Times New Roman" w:hAnsi="Times New Roman"/>
          <w:sz w:val="22"/>
        </w:rPr>
        <w:t xml:space="preserve">, J. D. Amusin, “The Reflection of Historical Events of the First Century B.C. in Qumran Commentaries [4Q 161; 4Q 169; 4Q 166],” </w:t>
      </w:r>
      <w:r>
        <w:rPr>
          <w:rFonts w:ascii="Times New Roman" w:hAnsi="Times New Roman"/>
          <w:i/>
          <w:sz w:val="22"/>
        </w:rPr>
        <w:t>HUCA</w:t>
      </w:r>
      <w:r>
        <w:rPr>
          <w:rFonts w:ascii="Times New Roman" w:hAnsi="Times New Roman"/>
          <w:sz w:val="22"/>
        </w:rPr>
        <w:t xml:space="preserve"> 48 [1977] 123-52; D. Flusser, </w:t>
      </w:r>
    </w:p>
    <w:p w:rsidR="00C71FD3" w:rsidRDefault="00C71FD3" w:rsidP="00C71FD3">
      <w:pPr>
        <w:tabs>
          <w:tab w:val="left" w:pos="-1440"/>
        </w:tabs>
        <w:rPr>
          <w:rFonts w:ascii="Times New Roman" w:hAnsi="Times New Roman"/>
          <w:sz w:val="22"/>
        </w:rPr>
      </w:pPr>
      <w:r>
        <w:rPr>
          <w:rFonts w:ascii="Times New Roman" w:hAnsi="Times New Roman"/>
          <w:sz w:val="22"/>
        </w:rPr>
        <w:t>“</w:t>
      </w:r>
      <w:r>
        <w:rPr>
          <w:rFonts w:ascii="אילת" w:hAnsi="אילת" w:cs="אילת" w:hint="cs"/>
          <w:sz w:val="22"/>
          <w:szCs w:val="22"/>
          <w:rtl/>
        </w:rPr>
        <w:t>פרושים</w:t>
      </w:r>
      <w:r>
        <w:rPr>
          <w:rFonts w:ascii="אילת" w:hAnsi="אילת" w:hint="cs"/>
          <w:sz w:val="22"/>
        </w:rPr>
        <w:t>...</w:t>
      </w:r>
      <w:r>
        <w:rPr>
          <w:rFonts w:ascii="Times New Roman" w:hAnsi="Times New Roman"/>
          <w:sz w:val="22"/>
        </w:rPr>
        <w:t xml:space="preserve">    ,” 133-68).  The biblical text focuses upon divine retribution for faithlessness and transgression.  The extant base-text thus accommodates an eschatological statement, though it does not explicitly comprise one.  Compare the view of Roth, who maintains that the </w:t>
      </w:r>
      <w:r>
        <w:rPr>
          <w:rFonts w:ascii="Times New Roman" w:hAnsi="Times New Roman"/>
          <w:i/>
          <w:sz w:val="22"/>
        </w:rPr>
        <w:t>pesher</w:t>
      </w:r>
      <w:r>
        <w:rPr>
          <w:rFonts w:ascii="Times New Roman" w:hAnsi="Times New Roman"/>
          <w:sz w:val="22"/>
        </w:rPr>
        <w:t>’s treatment of Hosea was prompted by the use of the term “End of Days” in Hos 3:5 (“Subject Matter,” 57).</w:t>
      </w:r>
    </w:p>
  </w:footnote>
  <w:footnote w:id="38">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The original context is explicitly and specifically directed against Assyria.  Its suitability for </w:t>
      </w:r>
      <w:r>
        <w:rPr>
          <w:i/>
          <w:sz w:val="22"/>
        </w:rPr>
        <w:t>pesher</w:t>
      </w:r>
      <w:r>
        <w:rPr>
          <w:sz w:val="22"/>
        </w:rPr>
        <w:t xml:space="preserve"> interpretation derives from its themes: divine wrath, and ultimate divine retribution against the wicked, especially the apparently flourishing and triumphant wicked.</w:t>
      </w:r>
    </w:p>
  </w:footnote>
  <w:footnote w:id="39">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A citation of Ps 129:7-8 is extant.  It is a general attestation of Israel’s belief in divine justice and favor despite persecution by its enemies.</w:t>
      </w:r>
    </w:p>
  </w:footnote>
  <w:footnote w:id="40">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Psalm 37 addresses salvation on the personal, rather than the national, level.  The term </w:t>
      </w:r>
      <w:r>
        <w:rPr>
          <w:rFonts w:ascii="אילת" w:hAnsi="אילת" w:cs="אילת" w:hint="cs"/>
          <w:sz w:val="22"/>
          <w:szCs w:val="22"/>
          <w:rtl/>
        </w:rPr>
        <w:t>אחרית</w:t>
      </w:r>
      <w:r>
        <w:rPr>
          <w:sz w:val="22"/>
        </w:rPr>
        <w:t xml:space="preserve"> in v. 37 is the “posterity” of the righteous individual (Horgan’s translation, </w:t>
      </w:r>
      <w:r>
        <w:rPr>
          <w:i/>
          <w:sz w:val="22"/>
        </w:rPr>
        <w:t>Pesharim</w:t>
      </w:r>
      <w:r>
        <w:rPr>
          <w:sz w:val="22"/>
        </w:rPr>
        <w:t>, 199.  NJPSV</w:t>
      </w:r>
      <w:r>
        <w:rPr>
          <w:i/>
          <w:sz w:val="22"/>
        </w:rPr>
        <w:t xml:space="preserve"> </w:t>
      </w:r>
      <w:r>
        <w:rPr>
          <w:sz w:val="22"/>
        </w:rPr>
        <w:t xml:space="preserve">renders “future”). Thus, the psalm is “eschatological” in a sense but is more low-key than typical cataclysmic prophecies, and its terminology is subdued as well.  (Terms of “finality” also include </w:t>
      </w:r>
      <w:r>
        <w:rPr>
          <w:rFonts w:ascii="אילת" w:hAnsi="אילת" w:cs="אילת" w:hint="cs"/>
          <w:sz w:val="22"/>
          <w:szCs w:val="22"/>
          <w:rtl/>
        </w:rPr>
        <w:t>לעולם</w:t>
      </w:r>
      <w:r>
        <w:rPr>
          <w:sz w:val="22"/>
        </w:rPr>
        <w:t xml:space="preserve"> [18], </w:t>
      </w:r>
      <w:r>
        <w:rPr>
          <w:rFonts w:ascii="אילת" w:hAnsi="אילת" w:cs="אילת" w:hint="cs"/>
          <w:sz w:val="22"/>
          <w:szCs w:val="22"/>
          <w:rtl/>
        </w:rPr>
        <w:t>לעד</w:t>
      </w:r>
      <w:r>
        <w:rPr>
          <w:sz w:val="22"/>
        </w:rPr>
        <w:t xml:space="preserve"> [27] and perhaps “inheritance” [9] for the dwelling of the righteous).  Psalm 45 is both national and eschatological, describing the Messiah who will be acknowledged by all nations and generations forever and ever.  Psalm 60:8-9 appears in a specific historical context in which David implores God to return divine favor upon His people.  The passage itself is not eschatological, though its themes would support such an application: messianic victory, and belief in ultimate divine favor despite current setbacks.</w:t>
      </w:r>
    </w:p>
  </w:footnote>
  <w:footnote w:id="41">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The interconnection between fate, reward and punishment, and eschatological beliefs in ancient Jewish sectarian theology is brought out most explicitly in Josephus’ description of Pharisaic, Sadduceean, and Essene views on these issues.  Cf. </w:t>
      </w:r>
      <w:r>
        <w:rPr>
          <w:i/>
          <w:sz w:val="22"/>
        </w:rPr>
        <w:t xml:space="preserve">War </w:t>
      </w:r>
      <w:r>
        <w:rPr>
          <w:sz w:val="22"/>
        </w:rPr>
        <w:t xml:space="preserve">2 §§162-66; </w:t>
      </w:r>
      <w:r>
        <w:rPr>
          <w:i/>
          <w:sz w:val="22"/>
        </w:rPr>
        <w:t xml:space="preserve">Ant. </w:t>
      </w:r>
      <w:r>
        <w:rPr>
          <w:sz w:val="22"/>
        </w:rPr>
        <w:t xml:space="preserve">13 §§171-3, 18 §§12-15. </w:t>
      </w:r>
    </w:p>
  </w:footnote>
  <w:footnote w:id="42">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This assessment is somewhat subjective.  Chapters 11 and 54 of Isaiah could be “poster-passages” for biblical eschatology, but only if we assume that they were read in a particular way that is not absolutely mandated by the texts themselves.  Still, it is likely that the eschatological valence of base-texts such as these was widely established before the composition of the pesharim.  Cf. 4QFlor 1:14-16 which quotes Isa 8:11 with the following characterization, “...about whom it is written in the book of Isaiah the prophet </w:t>
      </w:r>
      <w:r>
        <w:rPr>
          <w:i/>
          <w:sz w:val="22"/>
        </w:rPr>
        <w:t>for the end of days</w:t>
      </w:r>
      <w:r>
        <w:rPr>
          <w:sz w:val="22"/>
        </w:rPr>
        <w:t>.”  Cf. Fitzmyer, “The Use of Explicit Old Testament Quotations,” 29.</w:t>
      </w:r>
    </w:p>
  </w:footnote>
  <w:footnote w:id="43">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Comparison with Fitzmyer’s three categories of (non-</w:t>
      </w:r>
      <w:r>
        <w:rPr>
          <w:i/>
          <w:sz w:val="22"/>
        </w:rPr>
        <w:t>pesher</w:t>
      </w:r>
      <w:r>
        <w:rPr>
          <w:sz w:val="22"/>
        </w:rPr>
        <w:t>) biblical citations at Qumran may be useful here (</w:t>
      </w:r>
      <w:r>
        <w:rPr>
          <w:i/>
          <w:sz w:val="22"/>
        </w:rPr>
        <w:t>op. cit.</w:t>
      </w:r>
      <w:r>
        <w:rPr>
          <w:sz w:val="22"/>
        </w:rPr>
        <w:t>).  Some of the base-texts of the pesharim require “</w:t>
      </w:r>
      <w:r>
        <w:rPr>
          <w:i/>
          <w:sz w:val="22"/>
        </w:rPr>
        <w:t>modernization</w:t>
      </w:r>
      <w:r>
        <w:rPr>
          <w:sz w:val="22"/>
        </w:rPr>
        <w:t>” or “</w:t>
      </w:r>
      <w:r>
        <w:rPr>
          <w:i/>
          <w:sz w:val="22"/>
        </w:rPr>
        <w:t>accommodation</w:t>
      </w:r>
      <w:r>
        <w:rPr>
          <w:sz w:val="22"/>
        </w:rPr>
        <w:t xml:space="preserve">” to achieve the desired eschatological meaning, while others are already “eschatological” and are just stretched beyond their original contexts in being </w:t>
      </w:r>
      <w:r>
        <w:rPr>
          <w:i/>
          <w:sz w:val="22"/>
        </w:rPr>
        <w:t xml:space="preserve">applied </w:t>
      </w:r>
      <w:r>
        <w:rPr>
          <w:sz w:val="22"/>
        </w:rPr>
        <w:t>to a later time.  (However, Fitzmyer’s term “the new eschaton,” does not seem well-suited as a description of this later time.  The Community would have awaited not a “new eschaton,” but the culmination of the current eschaton).</w:t>
      </w:r>
    </w:p>
  </w:footnote>
  <w:footnote w:id="44">
    <w:p w:rsidR="00C71FD3" w:rsidRDefault="00C71FD3" w:rsidP="00C71FD3">
      <w:pPr>
        <w:ind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Yalon, </w:t>
      </w:r>
      <w:r>
        <w:rPr>
          <w:rFonts w:ascii="אילת" w:hAnsi="אילת" w:cs="אילת" w:hint="cs"/>
          <w:sz w:val="22"/>
          <w:szCs w:val="22"/>
          <w:rtl/>
        </w:rPr>
        <w:t>דברי</w:t>
      </w:r>
      <w:r>
        <w:rPr>
          <w:rFonts w:ascii="אילת" w:hAnsi="אילת" w:hint="cs"/>
          <w:sz w:val="22"/>
        </w:rPr>
        <w:t xml:space="preserve"> </w:t>
      </w:r>
      <w:r>
        <w:rPr>
          <w:rFonts w:ascii="אילת" w:hAnsi="אילת" w:cs="אילת" w:hint="cs"/>
          <w:sz w:val="22"/>
          <w:szCs w:val="22"/>
          <w:rtl/>
        </w:rPr>
        <w:t>לשון</w:t>
      </w:r>
      <w:r>
        <w:rPr>
          <w:rFonts w:ascii="אילת" w:hAnsi="אילת"/>
          <w:sz w:val="22"/>
        </w:rPr>
        <w:t xml:space="preserve"> :</w:t>
      </w:r>
      <w:r>
        <w:rPr>
          <w:rFonts w:ascii="אילת" w:hAnsi="אילת" w:cs="אילת" w:hint="cs"/>
          <w:sz w:val="22"/>
          <w:szCs w:val="22"/>
          <w:rtl/>
        </w:rPr>
        <w:t>מגילות</w:t>
      </w:r>
      <w:r>
        <w:rPr>
          <w:rFonts w:ascii="אילת" w:hAnsi="אילת" w:hint="cs"/>
          <w:sz w:val="22"/>
        </w:rPr>
        <w:t xml:space="preserve"> </w:t>
      </w:r>
      <w:r>
        <w:rPr>
          <w:rFonts w:ascii="אילת" w:hAnsi="אילת" w:cs="אילת" w:hint="cs"/>
          <w:sz w:val="22"/>
          <w:szCs w:val="22"/>
          <w:rtl/>
        </w:rPr>
        <w:t>מדבר</w:t>
      </w:r>
      <w:r>
        <w:rPr>
          <w:rFonts w:ascii="אילת" w:hAnsi="אילת" w:hint="cs"/>
          <w:sz w:val="22"/>
        </w:rPr>
        <w:t xml:space="preserve"> </w:t>
      </w:r>
      <w:r>
        <w:rPr>
          <w:rFonts w:ascii="אילת" w:hAnsi="אילת" w:cs="אילת" w:hint="cs"/>
          <w:sz w:val="22"/>
          <w:szCs w:val="22"/>
          <w:rtl/>
        </w:rPr>
        <w:t>יהודה</w:t>
      </w:r>
      <w:r>
        <w:rPr>
          <w:rFonts w:ascii="אילת" w:hAnsi="אילת"/>
          <w:sz w:val="22"/>
        </w:rPr>
        <w:t xml:space="preserve"> </w:t>
      </w:r>
      <w:r>
        <w:rPr>
          <w:rFonts w:ascii="Times New Roman" w:hAnsi="Times New Roman"/>
          <w:sz w:val="22"/>
        </w:rPr>
        <w:t xml:space="preserve">(Jerusalem: Kiryat Sefer, 1967), 65.  Cf. the citation of 1QpHab 2:8-9 above, and recall also 1QpHab 7:7 “God made known to him all the mysteries of the words of the prophets.”  (Yalon cites the Targum as </w:t>
      </w:r>
      <w:r>
        <w:rPr>
          <w:rFonts w:ascii="אילת" w:hAnsi="אילת" w:cs="אילת" w:hint="cs"/>
          <w:sz w:val="22"/>
          <w:szCs w:val="22"/>
          <w:rtl/>
        </w:rPr>
        <w:t>ולמדע</w:t>
      </w:r>
      <w:r>
        <w:rPr>
          <w:rFonts w:ascii="אילת" w:hAnsi="אילת" w:hint="cs"/>
          <w:sz w:val="22"/>
        </w:rPr>
        <w:t xml:space="preserve"> </w:t>
      </w:r>
      <w:r>
        <w:rPr>
          <w:rFonts w:ascii="אילת" w:hAnsi="אילת" w:cs="אילת" w:hint="cs"/>
          <w:sz w:val="22"/>
          <w:szCs w:val="22"/>
          <w:rtl/>
        </w:rPr>
        <w:t>פשר</w:t>
      </w:r>
      <w:r>
        <w:rPr>
          <w:rFonts w:ascii="אילת" w:hAnsi="אילת" w:hint="cs"/>
          <w:sz w:val="22"/>
        </w:rPr>
        <w:t xml:space="preserve"> </w:t>
      </w:r>
      <w:r>
        <w:rPr>
          <w:rFonts w:ascii="אילת" w:hAnsi="אילת" w:cs="אילת" w:hint="cs"/>
          <w:sz w:val="22"/>
          <w:szCs w:val="22"/>
          <w:rtl/>
        </w:rPr>
        <w:t>מליא</w:t>
      </w:r>
      <w:r>
        <w:rPr>
          <w:rFonts w:ascii="אילת" w:hAnsi="אילת" w:hint="cs"/>
          <w:sz w:val="22"/>
        </w:rPr>
        <w:t xml:space="preserve"> </w:t>
      </w:r>
      <w:r>
        <w:rPr>
          <w:rFonts w:ascii="אילת" w:hAnsi="אילת" w:cs="אילת" w:hint="cs"/>
          <w:sz w:val="22"/>
          <w:szCs w:val="22"/>
          <w:rtl/>
        </w:rPr>
        <w:t>בנביאיא</w:t>
      </w:r>
      <w:r>
        <w:rPr>
          <w:rFonts w:ascii="Times New Roman" w:hAnsi="Times New Roman"/>
          <w:sz w:val="22"/>
        </w:rPr>
        <w:t xml:space="preserve">; in some MSS the text appears as </w:t>
      </w:r>
      <w:r>
        <w:rPr>
          <w:rFonts w:ascii="אילת" w:hAnsi="אילת" w:cs="אילת" w:hint="cs"/>
          <w:sz w:val="22"/>
          <w:szCs w:val="22"/>
          <w:rtl/>
        </w:rPr>
        <w:t>ולמדע</w:t>
      </w:r>
      <w:r>
        <w:rPr>
          <w:rFonts w:ascii="אילת" w:hAnsi="אילת" w:hint="cs"/>
          <w:sz w:val="22"/>
        </w:rPr>
        <w:t xml:space="preserve"> </w:t>
      </w:r>
      <w:r>
        <w:rPr>
          <w:rFonts w:ascii="אילת" w:hAnsi="אילת" w:cs="אילת" w:hint="cs"/>
          <w:sz w:val="22"/>
          <w:szCs w:val="22"/>
          <w:rtl/>
        </w:rPr>
        <w:t>פשר</w:t>
      </w:r>
      <w:r>
        <w:rPr>
          <w:rFonts w:ascii="אילת" w:hAnsi="אילת" w:hint="cs"/>
          <w:sz w:val="22"/>
        </w:rPr>
        <w:t xml:space="preserve"> </w:t>
      </w:r>
      <w:r>
        <w:rPr>
          <w:rFonts w:ascii="אילת" w:hAnsi="אילת" w:cs="אילת" w:hint="cs"/>
          <w:sz w:val="22"/>
          <w:szCs w:val="22"/>
          <w:rtl/>
        </w:rPr>
        <w:t>מליא</w:t>
      </w:r>
      <w:r>
        <w:rPr>
          <w:rFonts w:ascii="אילת" w:hAnsi="אילת" w:hint="cs"/>
          <w:sz w:val="22"/>
        </w:rPr>
        <w:t xml:space="preserve"> </w:t>
      </w:r>
      <w:r>
        <w:rPr>
          <w:rFonts w:ascii="אילת" w:hAnsi="אילת" w:cs="אילת" w:hint="cs"/>
          <w:sz w:val="22"/>
          <w:szCs w:val="22"/>
          <w:rtl/>
        </w:rPr>
        <w:t>כנביאיא</w:t>
      </w:r>
      <w:r>
        <w:rPr>
          <w:rFonts w:ascii="Times New Roman" w:hAnsi="Times New Roman"/>
          <w:sz w:val="22"/>
        </w:rPr>
        <w:t xml:space="preserve">, “to know the interpretation of the words like the prophets.”  Cf. P. S. Knobel, “The Targum of Qohelet,” </w:t>
      </w:r>
      <w:r>
        <w:rPr>
          <w:rFonts w:ascii="Times New Roman" w:hAnsi="Times New Roman"/>
          <w:i/>
          <w:sz w:val="22"/>
        </w:rPr>
        <w:t>The Aramaic Bible:The Targums</w:t>
      </w:r>
      <w:r>
        <w:rPr>
          <w:rFonts w:ascii="Times New Roman" w:hAnsi="Times New Roman"/>
          <w:sz w:val="22"/>
        </w:rPr>
        <w:t xml:space="preserve"> (vol. 15; Minnesota: Liturgical Press, 1991), 42; E. Levine, </w:t>
      </w:r>
      <w:r>
        <w:rPr>
          <w:rFonts w:ascii="Times New Roman" w:hAnsi="Times New Roman"/>
          <w:i/>
          <w:sz w:val="22"/>
        </w:rPr>
        <w:t xml:space="preserve">The Aramaic Version of Qohelet </w:t>
      </w:r>
      <w:r>
        <w:rPr>
          <w:rFonts w:ascii="Times New Roman" w:hAnsi="Times New Roman"/>
          <w:sz w:val="22"/>
        </w:rPr>
        <w:t>(New York: Sepher-Hermon Press, 1978), 40.</w:t>
      </w:r>
    </w:p>
  </w:footnote>
  <w:footnote w:id="45">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For this sense of </w:t>
      </w:r>
      <w:r>
        <w:rPr>
          <w:rFonts w:ascii="אילת" w:hAnsi="אילת" w:cs="אילת" w:hint="cs"/>
          <w:sz w:val="22"/>
          <w:szCs w:val="22"/>
          <w:rtl/>
        </w:rPr>
        <w:t>קבלה</w:t>
      </w:r>
      <w:r>
        <w:rPr>
          <w:sz w:val="22"/>
        </w:rPr>
        <w:t xml:space="preserve">, see. e.g., </w:t>
      </w:r>
      <w:r>
        <w:rPr>
          <w:i/>
          <w:sz w:val="22"/>
        </w:rPr>
        <w:t>b. R</w:t>
      </w:r>
      <w:r>
        <w:rPr>
          <w:rFonts w:ascii="Semitic" w:hAnsi="Semitic"/>
          <w:i/>
          <w:sz w:val="22"/>
        </w:rPr>
        <w:t>oß</w:t>
      </w:r>
      <w:r>
        <w:rPr>
          <w:i/>
          <w:sz w:val="22"/>
        </w:rPr>
        <w:t xml:space="preserve"> H</w:t>
      </w:r>
      <w:r>
        <w:rPr>
          <w:rFonts w:ascii="Semitic" w:hAnsi="Semitic"/>
          <w:i/>
          <w:sz w:val="22"/>
        </w:rPr>
        <w:t>aß</w:t>
      </w:r>
      <w:r>
        <w:rPr>
          <w:i/>
          <w:sz w:val="22"/>
        </w:rPr>
        <w:t>.</w:t>
      </w:r>
      <w:r>
        <w:rPr>
          <w:sz w:val="22"/>
        </w:rPr>
        <w:t xml:space="preserve"> 7a, in which the use of Zech 1:7 as a proof-text is preceded by the following statement:  </w:t>
      </w:r>
      <w:r>
        <w:rPr>
          <w:rFonts w:ascii="אילת" w:hAnsi="אילת" w:cs="אילת" w:hint="cs"/>
          <w:sz w:val="22"/>
          <w:szCs w:val="22"/>
          <w:rtl/>
        </w:rPr>
        <w:t>דבר זה מתורת משה רבינו לא למדנו מדברי קבלה למדנו</w:t>
      </w:r>
      <w:r>
        <w:rPr>
          <w:sz w:val="22"/>
        </w:rPr>
        <w:t xml:space="preserve">, “we do not learn this from the Torah of Moses our teacher, but we learn it from the words of ‘Qabbalah’.”  Cf. J. Levy, </w:t>
      </w:r>
      <w:r>
        <w:rPr>
          <w:i/>
          <w:sz w:val="22"/>
        </w:rPr>
        <w:t>Wörterbuch über die Talmudim und Midraschim</w:t>
      </w:r>
      <w:r>
        <w:rPr>
          <w:sz w:val="22"/>
        </w:rPr>
        <w:t xml:space="preserve"> (Berlin and Vienna: B. Harz, 1924), s.v. </w:t>
      </w:r>
      <w:r>
        <w:rPr>
          <w:rFonts w:ascii="אילת" w:hAnsi="אילת" w:cs="אילת" w:hint="cs"/>
          <w:sz w:val="22"/>
          <w:szCs w:val="22"/>
          <w:rtl/>
        </w:rPr>
        <w:t>קבלה</w:t>
      </w:r>
      <w:r>
        <w:rPr>
          <w:sz w:val="22"/>
        </w:rPr>
        <w:t xml:space="preserve">, def. 2; W. Bacher, </w:t>
      </w:r>
      <w:r>
        <w:rPr>
          <w:i/>
          <w:sz w:val="22"/>
        </w:rPr>
        <w:t>Die Exegetische Terminologie der jüdischen Traditionsliteratur: Tannaiten</w:t>
      </w:r>
      <w:r>
        <w:rPr>
          <w:sz w:val="22"/>
        </w:rPr>
        <w:t xml:space="preserve"> (Hildesheim: G. Olms, 1965). s.v. </w:t>
      </w:r>
      <w:r>
        <w:rPr>
          <w:rFonts w:ascii="אילת" w:hAnsi="אילת" w:cs="אילת" w:hint="cs"/>
          <w:sz w:val="22"/>
          <w:szCs w:val="22"/>
          <w:rtl/>
        </w:rPr>
        <w:t>קבלה</w:t>
      </w:r>
      <w:r>
        <w:rPr>
          <w:sz w:val="22"/>
        </w:rPr>
        <w:t>, 165, Mandel, “Midrashic Exegesis”, 159.</w:t>
      </w:r>
    </w:p>
  </w:footnote>
  <w:footnote w:id="46">
    <w:p w:rsidR="00C71FD3" w:rsidRDefault="00C71FD3" w:rsidP="00C71FD3">
      <w:pPr>
        <w:ind w:right="86"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See the list of specific texts above.  Cf. Vermes, “Interpretation, History of,” 439; “Bible Interpretation,” 188*.  Carmignac also noted that the base-texts of the </w:t>
      </w:r>
      <w:r>
        <w:rPr>
          <w:rFonts w:ascii="Times New Roman" w:hAnsi="Times New Roman"/>
          <w:i/>
          <w:sz w:val="22"/>
        </w:rPr>
        <w:t>pesharim</w:t>
      </w:r>
      <w:r>
        <w:rPr>
          <w:rFonts w:ascii="Times New Roman" w:hAnsi="Times New Roman"/>
          <w:sz w:val="22"/>
        </w:rPr>
        <w:t xml:space="preserve"> were from the Prophets and Psalms, though he did not apparently view the latter as prophecy (</w:t>
      </w:r>
      <w:r>
        <w:rPr>
          <w:rFonts w:ascii="Times New Roman" w:hAnsi="Times New Roman"/>
          <w:i/>
          <w:sz w:val="22"/>
        </w:rPr>
        <w:t>Les Textes</w:t>
      </w:r>
      <w:r>
        <w:rPr>
          <w:rFonts w:ascii="Times New Roman" w:hAnsi="Times New Roman"/>
          <w:sz w:val="22"/>
        </w:rPr>
        <w:t xml:space="preserve">, 46).  For the prophetic status of the Psalms at Qumran, see Dimant, “Apocrypha and Pseudepigrapha at Qumran,” </w:t>
      </w:r>
      <w:r>
        <w:rPr>
          <w:rFonts w:ascii="Times New Roman" w:hAnsi="Times New Roman"/>
          <w:i/>
          <w:sz w:val="22"/>
        </w:rPr>
        <w:t>DSD</w:t>
      </w:r>
      <w:r>
        <w:rPr>
          <w:rFonts w:ascii="Times New Roman" w:hAnsi="Times New Roman"/>
          <w:sz w:val="22"/>
        </w:rPr>
        <w:t xml:space="preserve"> 1:2 (1994) 156-57; “Qumran Sectarian Literature,” 507.  Note the catalog of Davidic compositions in 11QPs</w:t>
      </w:r>
      <w:r>
        <w:rPr>
          <w:rFonts w:ascii="Times New Roman" w:hAnsi="Times New Roman"/>
          <w:sz w:val="22"/>
          <w:vertAlign w:val="superscript"/>
        </w:rPr>
        <w:t>a</w:t>
      </w:r>
      <w:r>
        <w:rPr>
          <w:rFonts w:ascii="Times New Roman" w:hAnsi="Times New Roman"/>
          <w:sz w:val="22"/>
        </w:rPr>
        <w:t>, in which David is described as a prophet (27:11).  Along similar lines, Silberman observes that in a “</w:t>
      </w:r>
      <w:r>
        <w:rPr>
          <w:rFonts w:ascii="Times New Roman" w:hAnsi="Times New Roman"/>
          <w:i/>
          <w:sz w:val="22"/>
        </w:rPr>
        <w:t>petirah</w:t>
      </w:r>
      <w:r>
        <w:rPr>
          <w:rFonts w:ascii="Times New Roman" w:hAnsi="Times New Roman"/>
          <w:sz w:val="22"/>
        </w:rPr>
        <w:t xml:space="preserve">” midrash in </w:t>
      </w:r>
      <w:r>
        <w:rPr>
          <w:rFonts w:ascii="Times New Roman" w:hAnsi="Times New Roman"/>
          <w:i/>
          <w:sz w:val="22"/>
        </w:rPr>
        <w:t>Ecc. Rab.</w:t>
      </w:r>
      <w:r>
        <w:rPr>
          <w:rFonts w:ascii="Times New Roman" w:hAnsi="Times New Roman"/>
          <w:sz w:val="22"/>
        </w:rPr>
        <w:t xml:space="preserve"> 12:1, the author of Ecclesiastes is referred to as “the prophet,” and</w:t>
      </w:r>
      <w:r>
        <w:rPr>
          <w:rFonts w:ascii="Times New Roman" w:hAnsi="Times New Roman" w:hint="cs"/>
          <w:sz w:val="22"/>
        </w:rPr>
        <w:t xml:space="preserve"> </w:t>
      </w:r>
      <w:r>
        <w:rPr>
          <w:rFonts w:ascii="Times New Roman" w:hAnsi="Times New Roman"/>
          <w:sz w:val="22"/>
        </w:rPr>
        <w:t xml:space="preserve">that </w:t>
      </w:r>
      <w:r>
        <w:rPr>
          <w:rFonts w:ascii="Times New Roman" w:hAnsi="Times New Roman"/>
          <w:i/>
          <w:sz w:val="22"/>
        </w:rPr>
        <w:t>Ecc. Rab.</w:t>
      </w:r>
      <w:r>
        <w:rPr>
          <w:rFonts w:ascii="Times New Roman" w:hAnsi="Times New Roman"/>
          <w:sz w:val="22"/>
        </w:rPr>
        <w:t xml:space="preserve"> 1:1 claims that Solomon wrote Proverbs, Ecclesiastes, and Song of Songs under the influence of the Divine Spirit (</w:t>
      </w:r>
      <w:r>
        <w:rPr>
          <w:rFonts w:ascii="אילת" w:hAnsi="אילת" w:cs="אילת" w:hint="cs"/>
          <w:sz w:val="22"/>
          <w:szCs w:val="22"/>
          <w:rtl/>
        </w:rPr>
        <w:t>ברוח</w:t>
      </w:r>
      <w:r>
        <w:rPr>
          <w:rFonts w:ascii="אילת" w:hAnsi="אילת" w:hint="cs"/>
          <w:sz w:val="22"/>
        </w:rPr>
        <w:t xml:space="preserve"> </w:t>
      </w:r>
      <w:r>
        <w:rPr>
          <w:rFonts w:ascii="אילת" w:hAnsi="אילת" w:cs="אילת" w:hint="cs"/>
          <w:sz w:val="22"/>
          <w:szCs w:val="22"/>
          <w:rtl/>
        </w:rPr>
        <w:t>הקודש</w:t>
      </w:r>
      <w:r>
        <w:rPr>
          <w:rFonts w:ascii="Times New Roman" w:hAnsi="Times New Roman"/>
          <w:sz w:val="22"/>
        </w:rPr>
        <w:t>), and that they are therefore prophetic (cited in “Unriddling,” 328).  In any case, biblical poetry tends to be perceived as prophetic, and specifically as eschatologically significant, both in its original contexts and, specifically, in its apprehension among Jews of the Second Temple period.</w:t>
      </w:r>
    </w:p>
  </w:footnote>
  <w:footnote w:id="47">
    <w:p w:rsidR="00C71FD3" w:rsidRDefault="00C71FD3" w:rsidP="00C71FD3">
      <w:pPr>
        <w:ind w:right="86"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In light of 4Q252, it might best be stated that the determinative aspect of the base-text is that it is “prophetic” with a lower-case, but not an upper-case, “P.”  Nitzan had observed that the word </w:t>
      </w:r>
      <w:r>
        <w:rPr>
          <w:rFonts w:ascii="Times New Roman" w:hAnsi="Times New Roman"/>
          <w:i/>
          <w:sz w:val="22"/>
        </w:rPr>
        <w:t>pesher</w:t>
      </w:r>
      <w:r>
        <w:rPr>
          <w:rFonts w:ascii="Times New Roman" w:hAnsi="Times New Roman"/>
          <w:sz w:val="22"/>
        </w:rPr>
        <w:t xml:space="preserve"> does not seem to be used at Qumran for the interpretation of Pentateuchal verses (</w:t>
      </w:r>
      <w:r>
        <w:rPr>
          <w:rFonts w:ascii="אילת" w:hAnsi="אילת" w:cs="אילת" w:hint="cs"/>
          <w:sz w:val="22"/>
          <w:szCs w:val="22"/>
          <w:rtl/>
        </w:rPr>
        <w:t>מגלת</w:t>
      </w:r>
      <w:r>
        <w:rPr>
          <w:rFonts w:ascii="אילת" w:hAnsi="אילת" w:hint="cs"/>
          <w:sz w:val="22"/>
        </w:rPr>
        <w:t xml:space="preserve"> </w:t>
      </w:r>
      <w:r>
        <w:rPr>
          <w:rFonts w:ascii="אילת" w:hAnsi="אילת" w:cs="אילת" w:hint="cs"/>
          <w:sz w:val="22"/>
          <w:szCs w:val="22"/>
          <w:rtl/>
        </w:rPr>
        <w:t>פשר</w:t>
      </w:r>
      <w:r>
        <w:rPr>
          <w:rFonts w:ascii="אילת" w:hAnsi="אילת" w:hint="cs"/>
          <w:sz w:val="22"/>
        </w:rPr>
        <w:t xml:space="preserve"> </w:t>
      </w:r>
      <w:r>
        <w:rPr>
          <w:rFonts w:ascii="אילת" w:hAnsi="אילת" w:cs="אילת" w:hint="cs"/>
          <w:sz w:val="22"/>
          <w:szCs w:val="22"/>
          <w:rtl/>
        </w:rPr>
        <w:t>חבקוק</w:t>
      </w:r>
      <w:r>
        <w:rPr>
          <w:rFonts w:ascii="Times New Roman" w:hAnsi="Times New Roman"/>
          <w:sz w:val="22"/>
        </w:rPr>
        <w:t xml:space="preserve">, 31).  She notes only the following two possible cases: 1Q22DM (“Dires de Moise,” line 3, in DJD 1, 91-97, D. Barthélemy and J. T. Milik, ed.): </w:t>
      </w:r>
      <w:r>
        <w:rPr>
          <w:rFonts w:ascii="אילת" w:hAnsi="אילת"/>
          <w:sz w:val="22"/>
        </w:rPr>
        <w:t>[</w:t>
      </w:r>
      <w:r>
        <w:rPr>
          <w:rFonts w:ascii="אילת" w:hAnsi="אילת" w:cs="אילת" w:hint="cs"/>
          <w:sz w:val="22"/>
          <w:szCs w:val="22"/>
          <w:rtl/>
        </w:rPr>
        <w:t>ור</w:t>
      </w:r>
      <w:r>
        <w:rPr>
          <w:rFonts w:ascii="אילת" w:hAnsi="אילת"/>
          <w:sz w:val="22"/>
        </w:rPr>
        <w:t>]</w:t>
      </w:r>
      <w:r>
        <w:rPr>
          <w:rFonts w:ascii="אילת" w:hAnsi="אילת" w:cs="אילת" w:hint="cs"/>
          <w:sz w:val="22"/>
          <w:szCs w:val="22"/>
          <w:rtl/>
        </w:rPr>
        <w:t>ש</w:t>
      </w:r>
      <w:r>
        <w:rPr>
          <w:rFonts w:ascii="אילת" w:hAnsi="אילת" w:cs="אילת"/>
          <w:sz w:val="22"/>
          <w:szCs w:val="22"/>
          <w:rtl/>
        </w:rPr>
        <w:t>פ</w:t>
      </w:r>
      <w:r>
        <w:rPr>
          <w:rFonts w:ascii="Times New Roman" w:hAnsi="Times New Roman"/>
          <w:sz w:val="22"/>
        </w:rPr>
        <w:t>; and 1Q30 (i:6, in DJD 1, 132-33; truncated context).  The word is associated with Pentateuchal verses in 4Q159 (4QOrdinances) frag. 5, lines 1,5 (DJD 5, 8-9), and 4Q180 frag. 1, lines 1, 6 (“4QAges of Creation” in DJD 5, 77-78), but exegesis is not evident in these contexts.  Cf. W. H. Brownlee, “The Background of Biblical Interpretation at Qumran,” M. Delcor</w:t>
      </w:r>
      <w:r>
        <w:rPr>
          <w:rFonts w:ascii="Times New Roman" w:hAnsi="Times New Roman"/>
          <w:i/>
          <w:sz w:val="22"/>
        </w:rPr>
        <w:t xml:space="preserve">, </w:t>
      </w:r>
      <w:r>
        <w:rPr>
          <w:rFonts w:ascii="Times New Roman" w:hAnsi="Times New Roman"/>
          <w:sz w:val="22"/>
        </w:rPr>
        <w:t xml:space="preserve">ed., </w:t>
      </w:r>
      <w:r>
        <w:rPr>
          <w:rFonts w:ascii="Times New Roman" w:hAnsi="Times New Roman"/>
          <w:i/>
          <w:sz w:val="22"/>
        </w:rPr>
        <w:t>Qumrân: sa piété, sa théologie et son milieu</w:t>
      </w:r>
      <w:r>
        <w:rPr>
          <w:rFonts w:ascii="Times New Roman" w:hAnsi="Times New Roman"/>
          <w:sz w:val="22"/>
        </w:rPr>
        <w:t xml:space="preserve"> [Paris: Leuven University Press, 1978], 185).  The usual restoration of </w:t>
      </w:r>
      <w:r>
        <w:rPr>
          <w:rFonts w:ascii="אילת" w:hAnsi="אילת" w:cs="אילת" w:hint="cs"/>
          <w:sz w:val="22"/>
          <w:szCs w:val="22"/>
          <w:rtl/>
        </w:rPr>
        <w:t>פשרו</w:t>
      </w:r>
      <w:r>
        <w:rPr>
          <w:rFonts w:ascii="Times New Roman" w:hAnsi="Times New Roman"/>
          <w:sz w:val="22"/>
        </w:rPr>
        <w:t xml:space="preserve"> at 11Q13 (11QMelch) 2:4 following a citation of Deut 15:2 has been contested by Milik on other grounds, and should be reassessed (</w:t>
      </w:r>
      <w:r>
        <w:rPr>
          <w:sz w:val="22"/>
        </w:rPr>
        <w:t>“Milkî-</w:t>
      </w:r>
      <w:r>
        <w:rPr>
          <w:rFonts w:ascii="Semitic" w:hAnsi="Semitic"/>
          <w:sz w:val="22"/>
        </w:rPr>
        <w:t>∆</w:t>
      </w:r>
      <w:r>
        <w:rPr>
          <w:sz w:val="22"/>
        </w:rPr>
        <w:t>edeq et Milkî-</w:t>
      </w:r>
      <w:r>
        <w:rPr>
          <w:rFonts w:ascii="Semitic" w:hAnsi="Semitic"/>
          <w:sz w:val="22"/>
        </w:rPr>
        <w:t>reßa‘</w:t>
      </w:r>
      <w:r>
        <w:rPr>
          <w:sz w:val="22"/>
        </w:rPr>
        <w:t xml:space="preserve"> dans les anciens écrits juifs et chrétiens,” </w:t>
      </w:r>
      <w:r>
        <w:rPr>
          <w:i/>
          <w:sz w:val="22"/>
        </w:rPr>
        <w:t xml:space="preserve">JJS </w:t>
      </w:r>
      <w:r>
        <w:rPr>
          <w:sz w:val="22"/>
        </w:rPr>
        <w:t xml:space="preserve">23 </w:t>
      </w:r>
      <w:r>
        <w:rPr>
          <w:rFonts w:ascii="Times New Roman" w:hAnsi="Times New Roman"/>
          <w:sz w:val="22"/>
        </w:rPr>
        <w:t xml:space="preserve"> [1972] 102.  Cf. P. J. Kobelski, </w:t>
      </w:r>
      <w:r>
        <w:rPr>
          <w:rFonts w:ascii="Times New Roman" w:hAnsi="Times New Roman"/>
          <w:i/>
          <w:sz w:val="22"/>
        </w:rPr>
        <w:t xml:space="preserve">Melchizedek and </w:t>
      </w:r>
      <w:r>
        <w:rPr>
          <w:rFonts w:ascii="Semitic" w:hAnsi="Semitic"/>
          <w:i/>
          <w:sz w:val="22"/>
        </w:rPr>
        <w:t>Melchireßa</w:t>
      </w:r>
      <w:r>
        <w:rPr>
          <w:i/>
          <w:sz w:val="22"/>
        </w:rPr>
        <w:t>’</w:t>
      </w:r>
      <w:r>
        <w:rPr>
          <w:rFonts w:ascii="Semitic" w:hAnsi="Semitic"/>
          <w:i/>
          <w:sz w:val="22"/>
        </w:rPr>
        <w:t xml:space="preserve"> </w:t>
      </w:r>
      <w:r>
        <w:rPr>
          <w:rFonts w:ascii="Times New Roman" w:hAnsi="Times New Roman"/>
          <w:sz w:val="22"/>
        </w:rPr>
        <w:t xml:space="preserve"> [Washington D.C.: Catholic Biblical Association of America, 1981], 11-12).</w:t>
      </w:r>
    </w:p>
    <w:p w:rsidR="00C71FD3" w:rsidRDefault="00C71FD3" w:rsidP="00C71FD3">
      <w:pPr>
        <w:pStyle w:val="FootnoteText"/>
        <w:spacing w:line="240" w:lineRule="auto"/>
        <w:ind w:firstLine="180"/>
        <w:jc w:val="left"/>
        <w:rPr>
          <w:sz w:val="22"/>
        </w:rPr>
      </w:pPr>
      <w:r>
        <w:rPr>
          <w:sz w:val="22"/>
        </w:rPr>
        <w:t xml:space="preserve">However, it is now widely-known that 4Q252 contains a more significant Pentateuchal </w:t>
      </w:r>
      <w:r>
        <w:rPr>
          <w:i/>
          <w:sz w:val="22"/>
        </w:rPr>
        <w:t>pesher</w:t>
      </w:r>
      <w:r>
        <w:rPr>
          <w:sz w:val="22"/>
        </w:rPr>
        <w:t>, consisting of a citation, a formula with “</w:t>
      </w:r>
      <w:r>
        <w:rPr>
          <w:i/>
          <w:sz w:val="22"/>
        </w:rPr>
        <w:t>pesher</w:t>
      </w:r>
      <w:r>
        <w:rPr>
          <w:sz w:val="22"/>
        </w:rPr>
        <w:t>,” and an historical identifying interpretation.  In this case, since chapter 49 of Genesis described “</w:t>
      </w:r>
      <w:r>
        <w:rPr>
          <w:i/>
          <w:sz w:val="22"/>
        </w:rPr>
        <w:t>aharyt haymym</w:t>
      </w:r>
      <w:r>
        <w:rPr>
          <w:sz w:val="22"/>
        </w:rPr>
        <w:t xml:space="preserve">”, Gen 49:3 was surely understood as prophetic.  Bernstein comments on the use of term </w:t>
      </w:r>
      <w:r>
        <w:rPr>
          <w:rFonts w:ascii="אילת" w:hAnsi="אילת" w:cs="אילת" w:hint="cs"/>
          <w:sz w:val="22"/>
          <w:szCs w:val="22"/>
          <w:rtl/>
        </w:rPr>
        <w:t>פשר</w:t>
      </w:r>
      <w:r>
        <w:rPr>
          <w:sz w:val="22"/>
        </w:rPr>
        <w:t xml:space="preserve"> in 4Q252: “perhaps the interpretation of a poetic or prophetic text is automatically ‘pesher’ regardless of the type of interpretation involved.  Such texts are deemed always to be opaque and in need of the </w:t>
      </w:r>
      <w:r>
        <w:rPr>
          <w:i/>
          <w:sz w:val="22"/>
        </w:rPr>
        <w:t>pesher</w:t>
      </w:r>
      <w:r>
        <w:rPr>
          <w:sz w:val="22"/>
        </w:rPr>
        <w:t xml:space="preserve"> process in order to be understood properly” (“4Q252: From Re-written Bible”, 18).  Dimant says of “isolated </w:t>
      </w:r>
      <w:r>
        <w:rPr>
          <w:i/>
          <w:sz w:val="22"/>
        </w:rPr>
        <w:t>pesharim</w:t>
      </w:r>
      <w:r>
        <w:rPr>
          <w:sz w:val="22"/>
        </w:rPr>
        <w:t>” in CD: “the texts commented upon in this way are mostly prophetic but a few are taken from ancient songs found in the Torah (Num. 21:18; Deut. 32:33).  This means that these songs were considered prophetic and were interpreted as such” (</w:t>
      </w:r>
      <w:r>
        <w:rPr>
          <w:i/>
          <w:sz w:val="22"/>
        </w:rPr>
        <w:t>ABD</w:t>
      </w:r>
      <w:r>
        <w:rPr>
          <w:sz w:val="22"/>
        </w:rPr>
        <w:t xml:space="preserve">, </w:t>
      </w:r>
      <w:r>
        <w:rPr>
          <w:i/>
          <w:sz w:val="22"/>
        </w:rPr>
        <w:t>s.v.</w:t>
      </w:r>
      <w:r>
        <w:rPr>
          <w:sz w:val="22"/>
        </w:rPr>
        <w:t xml:space="preserve"> “Pesharim”, 248.  Note, nonetheless, that these “isolated </w:t>
      </w:r>
      <w:r>
        <w:rPr>
          <w:i/>
          <w:sz w:val="22"/>
        </w:rPr>
        <w:t>pesharim</w:t>
      </w:r>
      <w:r>
        <w:rPr>
          <w:sz w:val="22"/>
        </w:rPr>
        <w:t xml:space="preserve">” do not actually use the word </w:t>
      </w:r>
      <w:r>
        <w:rPr>
          <w:i/>
          <w:sz w:val="22"/>
        </w:rPr>
        <w:t>pesher</w:t>
      </w:r>
      <w:r>
        <w:rPr>
          <w:sz w:val="22"/>
        </w:rPr>
        <w:t>.).</w:t>
      </w:r>
    </w:p>
  </w:footnote>
  <w:footnote w:id="48">
    <w:p w:rsidR="00C71FD3" w:rsidRDefault="00C71FD3" w:rsidP="00C71FD3">
      <w:pPr>
        <w:ind w:right="86"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Dimant sees the contemporizing eschatological content of </w:t>
      </w:r>
      <w:r>
        <w:rPr>
          <w:rFonts w:ascii="Times New Roman" w:hAnsi="Times New Roman"/>
          <w:i/>
          <w:sz w:val="22"/>
        </w:rPr>
        <w:t>pesher</w:t>
      </w:r>
      <w:r>
        <w:rPr>
          <w:rFonts w:ascii="Times New Roman" w:hAnsi="Times New Roman"/>
          <w:sz w:val="22"/>
        </w:rPr>
        <w:t xml:space="preserve"> as the </w:t>
      </w:r>
      <w:r>
        <w:rPr>
          <w:rFonts w:ascii="Times New Roman" w:hAnsi="Times New Roman"/>
          <w:i/>
          <w:sz w:val="22"/>
        </w:rPr>
        <w:t xml:space="preserve">only </w:t>
      </w:r>
      <w:r>
        <w:rPr>
          <w:rFonts w:ascii="Times New Roman" w:hAnsi="Times New Roman"/>
          <w:sz w:val="22"/>
        </w:rPr>
        <w:t xml:space="preserve">basis for a generic definition of </w:t>
      </w:r>
      <w:r>
        <w:rPr>
          <w:rFonts w:ascii="Times New Roman" w:hAnsi="Times New Roman"/>
          <w:i/>
          <w:sz w:val="22"/>
        </w:rPr>
        <w:t>pesher</w:t>
      </w:r>
      <w:r>
        <w:rPr>
          <w:rFonts w:ascii="Times New Roman" w:hAnsi="Times New Roman"/>
          <w:sz w:val="22"/>
        </w:rPr>
        <w:t xml:space="preserve">, stating, “A definition of the </w:t>
      </w:r>
      <w:r>
        <w:rPr>
          <w:rFonts w:ascii="Times New Roman" w:hAnsi="Times New Roman"/>
          <w:i/>
          <w:sz w:val="22"/>
        </w:rPr>
        <w:t>Pesharim</w:t>
      </w:r>
      <w:r>
        <w:rPr>
          <w:rFonts w:ascii="Times New Roman" w:hAnsi="Times New Roman"/>
          <w:sz w:val="22"/>
        </w:rPr>
        <w:t xml:space="preserve"> ought to be based on a feature truly distinctive to it.  Such is their subject matter, namely the special historical-eschatological exegesis of prophecy relating to the sect’s own position in history and rooted in its peculiar attitude to the base-text.  The traditional exegetical devices and literary forms are employed in the service of these particular ideas, and only in this respect can the </w:t>
      </w:r>
      <w:r>
        <w:rPr>
          <w:rFonts w:ascii="Times New Roman" w:hAnsi="Times New Roman"/>
          <w:i/>
          <w:sz w:val="22"/>
        </w:rPr>
        <w:t>Pesharim</w:t>
      </w:r>
      <w:r>
        <w:rPr>
          <w:rFonts w:ascii="Times New Roman" w:hAnsi="Times New Roman"/>
          <w:sz w:val="22"/>
        </w:rPr>
        <w:t xml:space="preserve"> be defined as a special genre” (“Qumran Sectarian Literature,” 507).  Brooke’s approach to genre as deriving from a number of essential features seems more appropriate than determining genre by only a single peculiar feature.  Thus, for example, a ballad is defined as “a song that tells a story” (see </w:t>
      </w:r>
      <w:r>
        <w:rPr>
          <w:rFonts w:ascii="Times New Roman" w:hAnsi="Times New Roman"/>
          <w:i/>
          <w:sz w:val="22"/>
        </w:rPr>
        <w:t>O.E.D.</w:t>
      </w:r>
      <w:r>
        <w:rPr>
          <w:rFonts w:ascii="Times New Roman" w:hAnsi="Times New Roman"/>
          <w:sz w:val="22"/>
        </w:rPr>
        <w:t xml:space="preserve"> s.v. “ballad”, def. 5; C. Baldick, </w:t>
      </w:r>
      <w:r>
        <w:rPr>
          <w:rFonts w:ascii="Times New Roman" w:hAnsi="Times New Roman"/>
          <w:i/>
          <w:sz w:val="22"/>
        </w:rPr>
        <w:t xml:space="preserve">Concise Oxford Dictionary of Literary Terms </w:t>
      </w:r>
      <w:r>
        <w:rPr>
          <w:rFonts w:ascii="Times New Roman" w:hAnsi="Times New Roman"/>
          <w:sz w:val="22"/>
        </w:rPr>
        <w:t xml:space="preserve">[Oxford: Oxford University Press, 1990]). Neither “being a song” nor “telling a story” is a characteristic that is exclusive to ballads, yet it is the combination of these essential components that will classify a ballad as such.  In fact, by embedding the term “exegesis” in her description of the “subject matter” of </w:t>
      </w:r>
      <w:r>
        <w:rPr>
          <w:rFonts w:ascii="Times New Roman" w:hAnsi="Times New Roman"/>
          <w:i/>
          <w:sz w:val="22"/>
        </w:rPr>
        <w:t>pesher</w:t>
      </w:r>
      <w:r>
        <w:rPr>
          <w:rFonts w:ascii="Times New Roman" w:hAnsi="Times New Roman"/>
          <w:sz w:val="22"/>
        </w:rPr>
        <w:t>, Dimant has inadvertently demonstrated the need to acknowledge a number of components in determining genre.</w:t>
      </w:r>
    </w:p>
  </w:footnote>
  <w:footnote w:id="49">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Brooke categorizes “method” as a secondary factor in determining the genre </w:t>
      </w:r>
      <w:r>
        <w:rPr>
          <w:i/>
          <w:sz w:val="22"/>
        </w:rPr>
        <w:t>pesher</w:t>
      </w:r>
      <w:r>
        <w:rPr>
          <w:sz w:val="22"/>
        </w:rPr>
        <w:t xml:space="preserve">.  He describes midrashic techniques and devices as an “important clue” to understanding </w:t>
      </w:r>
      <w:r>
        <w:rPr>
          <w:i/>
          <w:sz w:val="22"/>
        </w:rPr>
        <w:t>pesher</w:t>
      </w:r>
      <w:r>
        <w:rPr>
          <w:sz w:val="22"/>
        </w:rPr>
        <w:t xml:space="preserve">, but judges them as not “constitutive” of the genre, observing that the particular method of a given identification can not even always be determined (“Qumran Pesher,” 496-97).  Despite this fuzziness in our apprehension of particular techniques, the very use of exegetical technique at all is indicative of a particular approach to the biblical text that characterizes </w:t>
      </w:r>
      <w:r>
        <w:rPr>
          <w:i/>
          <w:sz w:val="22"/>
        </w:rPr>
        <w:t>pesher</w:t>
      </w:r>
      <w:r>
        <w:rPr>
          <w:sz w:val="22"/>
        </w:rPr>
        <w:t xml:space="preserve">.  The basis of </w:t>
      </w:r>
      <w:r>
        <w:rPr>
          <w:i/>
          <w:sz w:val="22"/>
        </w:rPr>
        <w:t>pesher</w:t>
      </w:r>
      <w:r>
        <w:rPr>
          <w:sz w:val="22"/>
        </w:rPr>
        <w:t xml:space="preserve"> in “revelation” and “exegesis” is central to our definition of </w:t>
      </w:r>
      <w:r>
        <w:rPr>
          <w:i/>
          <w:sz w:val="22"/>
        </w:rPr>
        <w:t>pesher</w:t>
      </w:r>
      <w:r>
        <w:rPr>
          <w:sz w:val="22"/>
        </w:rPr>
        <w:t xml:space="preserve">.  If a text is going to be linked to a later reality, the link will be as essential as both the text and its historical analog.  In an expression of equivalence or approximation, e.g., “a=b,” “a≈b,” or “a | b,” the =, ≈, or | sign is just as requisite as the elements “a” and “b,” though it is more complex, and subject to greater interpretation.  The existence of a conceptual, methodological link is a premise that must be seen as “inseparable,” to adopt Brooke’s term, from the historical content and identifying form of </w:t>
      </w:r>
      <w:r>
        <w:rPr>
          <w:i/>
          <w:sz w:val="22"/>
        </w:rPr>
        <w:t>pesher</w:t>
      </w:r>
      <w:r>
        <w:rPr>
          <w:sz w:val="22"/>
        </w:rPr>
        <w:t xml:space="preserve">.  </w:t>
      </w:r>
    </w:p>
  </w:footnote>
  <w:footnote w:id="50">
    <w:p w:rsidR="00C71FD3" w:rsidRDefault="00C71FD3" w:rsidP="00C71FD3">
      <w:pPr>
        <w:tabs>
          <w:tab w:val="left" w:pos="0"/>
        </w:tabs>
        <w:ind w:right="86"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However, see Silberman’s argument that the two are not mutually exclusive (“Unriddling,” 326).  Note also Collins’ phrase, “prophecy by interpretation” (“Jewish Apocalyptic,” 32-34.  Cf. Doudna, </w:t>
      </w:r>
      <w:r>
        <w:rPr>
          <w:rFonts w:ascii="Times New Roman" w:hAnsi="Times New Roman"/>
          <w:i/>
          <w:sz w:val="22"/>
        </w:rPr>
        <w:t>4Q Pesher Nahum</w:t>
      </w:r>
      <w:r>
        <w:rPr>
          <w:rFonts w:ascii="Times New Roman" w:hAnsi="Times New Roman"/>
          <w:sz w:val="22"/>
        </w:rPr>
        <w:t>, 58-61).</w:t>
      </w:r>
    </w:p>
  </w:footnote>
  <w:footnote w:id="51">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The nature of these relationships is complex and variously understood in the academic literature.  A thorough lexicographic treatment of </w:t>
      </w:r>
      <w:r>
        <w:rPr>
          <w:i/>
          <w:sz w:val="22"/>
        </w:rPr>
        <w:t>pesher</w:t>
      </w:r>
      <w:r>
        <w:rPr>
          <w:sz w:val="22"/>
        </w:rPr>
        <w:t xml:space="preserve"> and related terms is provided by S. D. Sperling, </w:t>
      </w:r>
      <w:r>
        <w:rPr>
          <w:i/>
          <w:sz w:val="22"/>
        </w:rPr>
        <w:t>Studies in Late Hebrew Lexicography in the Light of Akkadian</w:t>
      </w:r>
      <w:r>
        <w:rPr>
          <w:sz w:val="22"/>
        </w:rPr>
        <w:t xml:space="preserve"> (dissertation; New York: Columbia University, 1973), 53-92, esp. 65-72.  Cf. Nitzan, </w:t>
      </w:r>
      <w:r>
        <w:rPr>
          <w:rFonts w:ascii="אילת" w:hAnsi="אילת" w:cs="אילת" w:hint="cs"/>
          <w:sz w:val="22"/>
          <w:szCs w:val="22"/>
          <w:rtl/>
        </w:rPr>
        <w:t>מגלת פשר חבקוק</w:t>
      </w:r>
      <w:r>
        <w:rPr>
          <w:sz w:val="22"/>
        </w:rPr>
        <w:t xml:space="preserve">, 29-33; Horgan, </w:t>
      </w:r>
      <w:r>
        <w:rPr>
          <w:i/>
          <w:sz w:val="22"/>
        </w:rPr>
        <w:t>Pesharim</w:t>
      </w:r>
      <w:r>
        <w:rPr>
          <w:sz w:val="22"/>
        </w:rPr>
        <w:t xml:space="preserve">, 230-37, and the works cited by her, p. 230 n. 3, esp. L. Oppenheim, </w:t>
      </w:r>
      <w:r>
        <w:rPr>
          <w:i/>
          <w:sz w:val="22"/>
        </w:rPr>
        <w:t>The Interpretation of Dreams in the Ancient Near East</w:t>
      </w:r>
      <w:r>
        <w:rPr>
          <w:sz w:val="22"/>
        </w:rPr>
        <w:t xml:space="preserve"> (Transactions of the American Philosophical Society 46, part 3; Philadelphia: Amer. Phil. Soc., 1956), 217-25;  Cf. </w:t>
      </w:r>
      <w:r>
        <w:rPr>
          <w:i/>
          <w:sz w:val="22"/>
        </w:rPr>
        <w:t>Akkadisches Handwörterbuch</w:t>
      </w:r>
      <w:r>
        <w:rPr>
          <w:sz w:val="22"/>
        </w:rPr>
        <w:t xml:space="preserve">, vol. 2, </w:t>
      </w:r>
      <w:r>
        <w:rPr>
          <w:i/>
          <w:sz w:val="22"/>
        </w:rPr>
        <w:t>s.v.</w:t>
      </w:r>
      <w:r>
        <w:rPr>
          <w:sz w:val="22"/>
        </w:rPr>
        <w:t xml:space="preserve"> </w:t>
      </w:r>
      <w:r>
        <w:rPr>
          <w:rFonts w:ascii="Semitic" w:hAnsi="Semitic"/>
          <w:i/>
          <w:sz w:val="22"/>
        </w:rPr>
        <w:t>paßœru</w:t>
      </w:r>
      <w:r>
        <w:rPr>
          <w:i/>
          <w:sz w:val="22"/>
        </w:rPr>
        <w:t>(m)</w:t>
      </w:r>
      <w:r>
        <w:rPr>
          <w:sz w:val="22"/>
        </w:rPr>
        <w:t>, with the primary definition of “lockern, (auf)lösen.”</w:t>
      </w:r>
    </w:p>
  </w:footnote>
  <w:footnote w:id="52">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For the “unbinding” or “unsealing” of “closed revelation”, cp. </w:t>
      </w:r>
      <w:r>
        <w:rPr>
          <w:rFonts w:ascii="אילת" w:hAnsi="אילת" w:cs="אילת" w:hint="cs"/>
          <w:sz w:val="22"/>
          <w:szCs w:val="22"/>
          <w:rtl/>
        </w:rPr>
        <w:t>תפתחו החזון</w:t>
      </w:r>
      <w:r>
        <w:rPr>
          <w:sz w:val="22"/>
        </w:rPr>
        <w:t>, in 4Q299Mysteries</w:t>
      </w:r>
      <w:r>
        <w:rPr>
          <w:sz w:val="22"/>
          <w:vertAlign w:val="superscript"/>
        </w:rPr>
        <w:t>a</w:t>
      </w:r>
      <w:r>
        <w:rPr>
          <w:sz w:val="22"/>
        </w:rPr>
        <w:t>, frag. 3c, line 3 and  4Q300Mysteries</w:t>
      </w:r>
      <w:r>
        <w:rPr>
          <w:sz w:val="22"/>
          <w:vertAlign w:val="superscript"/>
        </w:rPr>
        <w:t xml:space="preserve">b </w:t>
      </w:r>
      <w:r>
        <w:rPr>
          <w:sz w:val="22"/>
        </w:rPr>
        <w:t>, frag. 1b, line 3, (L. H. Schiffman, DJD</w:t>
      </w:r>
      <w:r>
        <w:rPr>
          <w:i/>
          <w:sz w:val="22"/>
        </w:rPr>
        <w:t xml:space="preserve"> </w:t>
      </w:r>
      <w:r>
        <w:rPr>
          <w:sz w:val="22"/>
        </w:rPr>
        <w:t xml:space="preserve">20, 43, 101).  The antithetical idiom, </w:t>
      </w:r>
      <w:r>
        <w:rPr>
          <w:rFonts w:ascii="אילת" w:hAnsi="אילת" w:cs="אילת" w:hint="cs"/>
          <w:sz w:val="22"/>
          <w:szCs w:val="22"/>
          <w:rtl/>
        </w:rPr>
        <w:t>ח</w:t>
      </w:r>
      <w:r>
        <w:rPr>
          <w:rFonts w:ascii="אילת" w:hAnsi="אילת" w:hint="cs"/>
          <w:noProof w:val="0"/>
          <w:sz w:val="22"/>
        </w:rPr>
        <w:t>.</w:t>
      </w:r>
      <w:r>
        <w:rPr>
          <w:rFonts w:ascii="אילת" w:hAnsi="אילת" w:cs="אילת" w:hint="cs"/>
          <w:sz w:val="22"/>
          <w:szCs w:val="22"/>
          <w:rtl/>
        </w:rPr>
        <w:t>ת</w:t>
      </w:r>
      <w:r>
        <w:rPr>
          <w:rFonts w:ascii="אילת" w:hAnsi="אילת" w:hint="cs"/>
          <w:noProof w:val="0"/>
          <w:sz w:val="22"/>
        </w:rPr>
        <w:t>.</w:t>
      </w:r>
      <w:r>
        <w:rPr>
          <w:rFonts w:ascii="אילת" w:hAnsi="אילת" w:cs="אילת" w:hint="cs"/>
          <w:sz w:val="22"/>
          <w:szCs w:val="22"/>
          <w:rtl/>
        </w:rPr>
        <w:t>מ</w:t>
      </w:r>
      <w:r>
        <w:rPr>
          <w:rFonts w:ascii="אילת" w:hAnsi="אילת" w:hint="cs"/>
          <w:noProof w:val="0"/>
          <w:sz w:val="22"/>
        </w:rPr>
        <w:t xml:space="preserve">. </w:t>
      </w:r>
      <w:r>
        <w:rPr>
          <w:rFonts w:ascii="אילת" w:hAnsi="אילת" w:cs="אילת" w:hint="cs"/>
          <w:sz w:val="22"/>
          <w:szCs w:val="22"/>
          <w:rtl/>
        </w:rPr>
        <w:t>חזון</w:t>
      </w:r>
      <w:r>
        <w:rPr>
          <w:sz w:val="22"/>
        </w:rPr>
        <w:t xml:space="preserve">     is found in Dan 9:24 and 4QMyst</w:t>
      </w:r>
      <w:r>
        <w:rPr>
          <w:sz w:val="22"/>
          <w:vertAlign w:val="superscript"/>
        </w:rPr>
        <w:t>a</w:t>
      </w:r>
      <w:r>
        <w:rPr>
          <w:sz w:val="22"/>
        </w:rPr>
        <w:t xml:space="preserve">, frag. 3c, line 2.  (See Mandel’s discussion of </w:t>
      </w:r>
      <w:r>
        <w:rPr>
          <w:rFonts w:ascii="אילת" w:hAnsi="אילת" w:cs="אילת" w:hint="cs"/>
          <w:sz w:val="22"/>
          <w:szCs w:val="22"/>
          <w:rtl/>
        </w:rPr>
        <w:t>פתח</w:t>
      </w:r>
      <w:r>
        <w:rPr>
          <w:sz w:val="22"/>
        </w:rPr>
        <w:t>, in “</w:t>
      </w:r>
      <w:r>
        <w:rPr>
          <w:rFonts w:ascii="אילת" w:hAnsi="אילת" w:cs="אילת" w:hint="cs"/>
          <w:sz w:val="22"/>
          <w:szCs w:val="22"/>
          <w:rtl/>
        </w:rPr>
        <w:t>על פתח ועל הפתיחה</w:t>
      </w:r>
      <w:r>
        <w:rPr>
          <w:sz w:val="22"/>
        </w:rPr>
        <w:t>”.)</w:t>
      </w:r>
    </w:p>
  </w:footnote>
  <w:footnote w:id="53">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w:t>
      </w:r>
      <w:r>
        <w:rPr>
          <w:rFonts w:ascii="אילת" w:hAnsi="אילת" w:cs="אילת" w:hint="cs"/>
          <w:sz w:val="22"/>
          <w:szCs w:val="22"/>
          <w:rtl/>
        </w:rPr>
        <w:t>יפשור</w:t>
      </w:r>
      <w:r>
        <w:rPr>
          <w:sz w:val="22"/>
        </w:rPr>
        <w:t xml:space="preserve"> is also used for dream interpretation also at 4QEnochGiants</w:t>
      </w:r>
      <w:r>
        <w:rPr>
          <w:sz w:val="22"/>
          <w:vertAlign w:val="superscript"/>
        </w:rPr>
        <w:t>b</w:t>
      </w:r>
      <w:r>
        <w:rPr>
          <w:sz w:val="22"/>
        </w:rPr>
        <w:t xml:space="preserve"> I ii 14-15 (and restored at I ii 23; cf. J. T. Milik, </w:t>
      </w:r>
      <w:r>
        <w:rPr>
          <w:i/>
          <w:sz w:val="22"/>
        </w:rPr>
        <w:t xml:space="preserve">The Books of Enoch: Aramaic Fragments of Qumrân Cave 4 </w:t>
      </w:r>
      <w:r>
        <w:rPr>
          <w:sz w:val="22"/>
        </w:rPr>
        <w:t xml:space="preserve">[Oxford: Clarendon Press, 1976], 305). </w:t>
      </w:r>
    </w:p>
  </w:footnote>
  <w:footnote w:id="54">
    <w:p w:rsidR="00C71FD3" w:rsidRDefault="00C71FD3" w:rsidP="00C71FD3">
      <w:pPr>
        <w:ind w:right="86"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Nitzan cited </w:t>
      </w:r>
      <w:r>
        <w:rPr>
          <w:rFonts w:ascii="אילת" w:hAnsi="אילת" w:cs="אילת" w:hint="cs"/>
          <w:sz w:val="22"/>
          <w:szCs w:val="22"/>
          <w:rtl/>
        </w:rPr>
        <w:t>סרך</w:t>
      </w:r>
      <w:r>
        <w:rPr>
          <w:rFonts w:ascii="Times New Roman" w:hAnsi="Times New Roman"/>
          <w:sz w:val="22"/>
        </w:rPr>
        <w:t xml:space="preserve"> as a similar Qumranic Hebraizing of an Aramaic word (</w:t>
      </w:r>
      <w:r>
        <w:rPr>
          <w:rFonts w:ascii="אילת" w:hAnsi="אילת" w:cs="אילת" w:hint="cs"/>
          <w:sz w:val="22"/>
          <w:szCs w:val="22"/>
          <w:rtl/>
        </w:rPr>
        <w:t>מגלת</w:t>
      </w:r>
      <w:r>
        <w:rPr>
          <w:rFonts w:ascii="אילת" w:hAnsi="אילת" w:hint="cs"/>
          <w:sz w:val="22"/>
        </w:rPr>
        <w:t xml:space="preserve"> </w:t>
      </w:r>
      <w:r>
        <w:rPr>
          <w:rFonts w:ascii="אילת" w:hAnsi="אילת" w:cs="אילת" w:hint="cs"/>
          <w:sz w:val="22"/>
          <w:szCs w:val="22"/>
          <w:rtl/>
        </w:rPr>
        <w:t>פשר</w:t>
      </w:r>
      <w:r>
        <w:rPr>
          <w:rFonts w:ascii="אילת" w:hAnsi="אילת" w:hint="cs"/>
          <w:sz w:val="22"/>
        </w:rPr>
        <w:t xml:space="preserve"> </w:t>
      </w:r>
      <w:r>
        <w:rPr>
          <w:rFonts w:ascii="אילת" w:hAnsi="אילת" w:cs="אילת" w:hint="cs"/>
          <w:sz w:val="22"/>
          <w:szCs w:val="22"/>
          <w:rtl/>
        </w:rPr>
        <w:t>חבקוק</w:t>
      </w:r>
      <w:r>
        <w:rPr>
          <w:rFonts w:ascii="Times New Roman" w:hAnsi="Times New Roman"/>
          <w:sz w:val="22"/>
        </w:rPr>
        <w:t xml:space="preserve">, 33).  See the discussion of </w:t>
      </w:r>
      <w:r>
        <w:rPr>
          <w:rFonts w:ascii="אילת" w:hAnsi="אילת" w:cs="אילת" w:hint="cs"/>
          <w:sz w:val="22"/>
          <w:szCs w:val="22"/>
          <w:rtl/>
        </w:rPr>
        <w:t>סרך</w:t>
      </w:r>
      <w:r>
        <w:rPr>
          <w:rFonts w:ascii="Times New Roman" w:hAnsi="Times New Roman"/>
          <w:sz w:val="22"/>
        </w:rPr>
        <w:t xml:space="preserve"> as two separate roots in Schiffman, </w:t>
      </w:r>
      <w:r>
        <w:rPr>
          <w:rFonts w:ascii="Times New Roman" w:hAnsi="Times New Roman"/>
          <w:i/>
          <w:sz w:val="22"/>
        </w:rPr>
        <w:t xml:space="preserve">The Halakha at Qumran, </w:t>
      </w:r>
      <w:r>
        <w:rPr>
          <w:rFonts w:ascii="Times New Roman" w:hAnsi="Times New Roman"/>
          <w:sz w:val="22"/>
        </w:rPr>
        <w:t xml:space="preserve">60-68, and the literature cited there.  The use of the root </w:t>
      </w:r>
      <w:r>
        <w:rPr>
          <w:rFonts w:ascii="אילת" w:hAnsi="אילת" w:cs="אילת" w:hint="cs"/>
          <w:sz w:val="22"/>
          <w:szCs w:val="22"/>
          <w:rtl/>
        </w:rPr>
        <w:t>פתר</w:t>
      </w:r>
      <w:r>
        <w:rPr>
          <w:rFonts w:ascii="Times New Roman" w:hAnsi="Times New Roman"/>
          <w:sz w:val="22"/>
        </w:rPr>
        <w:t xml:space="preserve"> to denote dream interpretation in Biblical Hebrew (only in chapters 40-41 of Genesis, </w:t>
      </w:r>
      <w:r>
        <w:rPr>
          <w:rFonts w:ascii="Times New Roman" w:hAnsi="Times New Roman"/>
          <w:i/>
          <w:sz w:val="22"/>
        </w:rPr>
        <w:t>passim</w:t>
      </w:r>
      <w:r>
        <w:rPr>
          <w:rFonts w:ascii="Times New Roman" w:hAnsi="Times New Roman"/>
          <w:sz w:val="22"/>
        </w:rPr>
        <w:t>) has been viewed by some as cognate with the Aramaic.  Horgan (</w:t>
      </w:r>
      <w:r>
        <w:rPr>
          <w:rFonts w:ascii="Times New Roman" w:hAnsi="Times New Roman"/>
          <w:i/>
          <w:sz w:val="22"/>
        </w:rPr>
        <w:t>Pesharim</w:t>
      </w:r>
      <w:r>
        <w:rPr>
          <w:rFonts w:ascii="Times New Roman" w:hAnsi="Times New Roman"/>
          <w:sz w:val="22"/>
        </w:rPr>
        <w:t>, 236) has even raised the possibility of a hypothetical proto-Semitic root *</w:t>
      </w:r>
      <w:r>
        <w:rPr>
          <w:rFonts w:ascii="Times New Roman" w:hAnsi="Times New Roman"/>
          <w:i/>
          <w:sz w:val="22"/>
        </w:rPr>
        <w:t>p</w:t>
      </w:r>
      <w:r>
        <w:rPr>
          <w:rFonts w:ascii="Times New Roman" w:hAnsi="Times New Roman"/>
          <w:i/>
          <w:sz w:val="22"/>
        </w:rPr>
        <w:fldChar w:fldCharType="begin"/>
      </w:r>
      <w:r>
        <w:rPr>
          <w:rFonts w:ascii="Times New Roman" w:hAnsi="Times New Roman"/>
          <w:i/>
          <w:sz w:val="22"/>
        </w:rPr>
        <w:instrText>EQ \O(t,_)</w:instrText>
      </w:r>
      <w:r>
        <w:rPr>
          <w:rFonts w:ascii="Times New Roman" w:hAnsi="Times New Roman"/>
          <w:i/>
          <w:sz w:val="22"/>
        </w:rPr>
        <w:fldChar w:fldCharType="end"/>
      </w:r>
      <w:r>
        <w:rPr>
          <w:rFonts w:ascii="Times New Roman" w:hAnsi="Times New Roman"/>
          <w:i/>
          <w:sz w:val="22"/>
        </w:rPr>
        <w:t>r</w:t>
      </w:r>
      <w:r>
        <w:rPr>
          <w:rFonts w:ascii="Times New Roman" w:hAnsi="Times New Roman"/>
          <w:sz w:val="22"/>
        </w:rPr>
        <w:t xml:space="preserve"> that could account for Akkaddian </w:t>
      </w:r>
      <w:r>
        <w:rPr>
          <w:rFonts w:ascii="Semitic" w:hAnsi="Semitic"/>
          <w:i/>
          <w:sz w:val="22"/>
        </w:rPr>
        <w:t>pßr</w:t>
      </w:r>
      <w:r>
        <w:rPr>
          <w:rFonts w:ascii="Times New Roman" w:hAnsi="Times New Roman"/>
          <w:sz w:val="22"/>
        </w:rPr>
        <w:t xml:space="preserve">, Hebrew </w:t>
      </w:r>
      <w:r>
        <w:rPr>
          <w:rFonts w:ascii="Semitic" w:hAnsi="Semitic"/>
          <w:i/>
          <w:sz w:val="22"/>
        </w:rPr>
        <w:t>pßr</w:t>
      </w:r>
      <w:r>
        <w:rPr>
          <w:rFonts w:ascii="Semitic" w:hAnsi="Semitic"/>
          <w:sz w:val="22"/>
        </w:rPr>
        <w:t>,</w:t>
      </w:r>
      <w:r>
        <w:rPr>
          <w:rFonts w:ascii="Times New Roman" w:hAnsi="Times New Roman"/>
          <w:sz w:val="22"/>
        </w:rPr>
        <w:t xml:space="preserve"> and Aramaic </w:t>
      </w:r>
      <w:r>
        <w:rPr>
          <w:rFonts w:ascii="Times New Roman" w:hAnsi="Times New Roman"/>
          <w:i/>
          <w:sz w:val="22"/>
        </w:rPr>
        <w:t>ptr</w:t>
      </w:r>
      <w:r>
        <w:rPr>
          <w:rFonts w:ascii="Times New Roman" w:hAnsi="Times New Roman"/>
          <w:sz w:val="22"/>
        </w:rPr>
        <w:t xml:space="preserve">, with Hebrew </w:t>
      </w:r>
      <w:r>
        <w:rPr>
          <w:rFonts w:ascii="Times New Roman" w:hAnsi="Times New Roman"/>
          <w:i/>
          <w:sz w:val="22"/>
        </w:rPr>
        <w:t>ptr</w:t>
      </w:r>
      <w:r>
        <w:rPr>
          <w:rFonts w:ascii="Times New Roman" w:hAnsi="Times New Roman"/>
          <w:sz w:val="22"/>
        </w:rPr>
        <w:t xml:space="preserve"> borrowed from the Aramaic, and Aramaic </w:t>
      </w:r>
      <w:r>
        <w:rPr>
          <w:rFonts w:ascii="Semitic" w:hAnsi="Semitic"/>
          <w:i/>
          <w:sz w:val="22"/>
        </w:rPr>
        <w:t>pßr</w:t>
      </w:r>
      <w:r>
        <w:rPr>
          <w:rFonts w:ascii="Times New Roman" w:hAnsi="Times New Roman"/>
          <w:sz w:val="22"/>
        </w:rPr>
        <w:t xml:space="preserve"> borrowed at a later stage from Akkadian or Hebrew.  </w:t>
      </w:r>
      <w:r>
        <w:rPr>
          <w:rFonts w:ascii="Times New Roman" w:hAnsi="Times New Roman" w:hint="cs"/>
          <w:sz w:val="22"/>
        </w:rPr>
        <w:t xml:space="preserve">However, </w:t>
      </w:r>
      <w:r>
        <w:rPr>
          <w:rFonts w:ascii="Times New Roman" w:hAnsi="Times New Roman"/>
          <w:sz w:val="22"/>
        </w:rPr>
        <w:t xml:space="preserve">Sperling argues against an etymological relationship between </w:t>
      </w:r>
      <w:r>
        <w:rPr>
          <w:rFonts w:ascii="אילת" w:hAnsi="אילת" w:cs="אילת" w:hint="cs"/>
          <w:sz w:val="22"/>
          <w:szCs w:val="22"/>
          <w:rtl/>
        </w:rPr>
        <w:t>פשר</w:t>
      </w:r>
      <w:r>
        <w:rPr>
          <w:rFonts w:ascii="Times New Roman" w:hAnsi="Times New Roman"/>
          <w:sz w:val="22"/>
        </w:rPr>
        <w:t xml:space="preserve"> and </w:t>
      </w:r>
      <w:r>
        <w:rPr>
          <w:rFonts w:ascii="אילת" w:hAnsi="אילת" w:cs="אילת" w:hint="cs"/>
          <w:sz w:val="22"/>
          <w:szCs w:val="22"/>
          <w:rtl/>
        </w:rPr>
        <w:t>פתר</w:t>
      </w:r>
      <w:r>
        <w:rPr>
          <w:rFonts w:ascii="Times New Roman" w:hAnsi="Times New Roman"/>
          <w:sz w:val="22"/>
        </w:rPr>
        <w:t xml:space="preserve"> (</w:t>
      </w:r>
      <w:r>
        <w:rPr>
          <w:rFonts w:ascii="Times New Roman" w:hAnsi="Times New Roman"/>
          <w:i/>
          <w:sz w:val="22"/>
        </w:rPr>
        <w:t>Studies</w:t>
      </w:r>
      <w:r>
        <w:rPr>
          <w:rFonts w:ascii="Times New Roman" w:hAnsi="Times New Roman"/>
          <w:sz w:val="22"/>
        </w:rPr>
        <w:t>, 92).  Rabinowitz has been faulted for overly simplifying the lexical equation between Qumran “</w:t>
      </w:r>
      <w:r>
        <w:rPr>
          <w:rFonts w:ascii="Times New Roman" w:hAnsi="Times New Roman"/>
          <w:i/>
          <w:sz w:val="22"/>
        </w:rPr>
        <w:t>pesher</w:t>
      </w:r>
      <w:r>
        <w:rPr>
          <w:rFonts w:ascii="Times New Roman" w:hAnsi="Times New Roman"/>
          <w:sz w:val="22"/>
        </w:rPr>
        <w:t>” and the biblical Aramaic and Hebrew words designating dream interpretation, in “</w:t>
      </w:r>
      <w:r>
        <w:rPr>
          <w:rFonts w:ascii="Times New Roman" w:hAnsi="Times New Roman"/>
          <w:i/>
          <w:sz w:val="22"/>
        </w:rPr>
        <w:t>Pêsher/Pittârôn</w:t>
      </w:r>
      <w:r>
        <w:rPr>
          <w:rFonts w:ascii="Times New Roman" w:hAnsi="Times New Roman"/>
          <w:sz w:val="22"/>
        </w:rPr>
        <w:t xml:space="preserve">,” 220.  Cf. the critiques of G. J. Brooke, “Qumran Pesher,” 488; Nitzan, </w:t>
      </w:r>
      <w:r>
        <w:rPr>
          <w:rFonts w:ascii="Times New Roman" w:hAnsi="Times New Roman"/>
          <w:i/>
          <w:sz w:val="22"/>
        </w:rPr>
        <w:t>ibid</w:t>
      </w:r>
      <w:r>
        <w:rPr>
          <w:rFonts w:ascii="Times New Roman" w:hAnsi="Times New Roman"/>
          <w:sz w:val="22"/>
        </w:rPr>
        <w:t>., 31-32.</w:t>
      </w:r>
    </w:p>
  </w:footnote>
  <w:footnote w:id="55">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H. Basser pointed to an additional rabbinic Hebrew sense of </w:t>
      </w:r>
      <w:r>
        <w:rPr>
          <w:rFonts w:ascii="אילת" w:hAnsi="אילת" w:cs="אילת" w:hint="cs"/>
          <w:sz w:val="22"/>
          <w:szCs w:val="22"/>
          <w:rtl/>
        </w:rPr>
        <w:t>פשר</w:t>
      </w:r>
      <w:r>
        <w:rPr>
          <w:sz w:val="22"/>
        </w:rPr>
        <w:t xml:space="preserve"> as “coming together.”  He saw this secondary etymology as relevant to the closeness with which </w:t>
      </w:r>
      <w:r>
        <w:rPr>
          <w:i/>
          <w:sz w:val="22"/>
        </w:rPr>
        <w:t>pesher</w:t>
      </w:r>
      <w:r>
        <w:rPr>
          <w:sz w:val="22"/>
        </w:rPr>
        <w:t xml:space="preserve"> interpretations are “bound” to their biblical base-texts (“</w:t>
      </w:r>
      <w:r>
        <w:rPr>
          <w:i/>
          <w:sz w:val="22"/>
        </w:rPr>
        <w:t>Pesher Hadavar</w:t>
      </w:r>
      <w:r>
        <w:rPr>
          <w:sz w:val="22"/>
        </w:rPr>
        <w:t xml:space="preserve">: The Truth of the Matter,” </w:t>
      </w:r>
      <w:r>
        <w:rPr>
          <w:i/>
          <w:sz w:val="22"/>
        </w:rPr>
        <w:t>RevQ</w:t>
      </w:r>
      <w:r>
        <w:rPr>
          <w:sz w:val="22"/>
        </w:rPr>
        <w:t xml:space="preserve"> 13 [1988] 389-405, 391).  Sperling discussed a shared sense of “to settle” or “mediate” for Akkadian </w:t>
      </w:r>
      <w:r>
        <w:rPr>
          <w:rFonts w:ascii="Semitic" w:hAnsi="Semitic"/>
          <w:i/>
          <w:sz w:val="22"/>
        </w:rPr>
        <w:t>paßœru</w:t>
      </w:r>
      <w:r>
        <w:rPr>
          <w:sz w:val="22"/>
        </w:rPr>
        <w:t xml:space="preserve"> and Aramaic and late Hebrew </w:t>
      </w:r>
      <w:r>
        <w:rPr>
          <w:rFonts w:ascii="Semitic" w:hAnsi="Semitic"/>
          <w:i/>
          <w:sz w:val="22"/>
        </w:rPr>
        <w:t>pßr</w:t>
      </w:r>
      <w:r>
        <w:rPr>
          <w:sz w:val="22"/>
        </w:rPr>
        <w:t xml:space="preserve">, but he viewed this usage as limited to the legal sphere; he took only the root meaning “unloose” to be of relevance to Qumran </w:t>
      </w:r>
      <w:r>
        <w:rPr>
          <w:i/>
          <w:sz w:val="22"/>
        </w:rPr>
        <w:t>pesher</w:t>
      </w:r>
      <w:r>
        <w:rPr>
          <w:sz w:val="22"/>
        </w:rPr>
        <w:t xml:space="preserve"> (</w:t>
      </w:r>
      <w:r>
        <w:rPr>
          <w:i/>
          <w:sz w:val="22"/>
        </w:rPr>
        <w:t>Studies</w:t>
      </w:r>
      <w:r>
        <w:rPr>
          <w:sz w:val="22"/>
        </w:rPr>
        <w:t>, 77-86).</w:t>
      </w:r>
    </w:p>
  </w:footnote>
  <w:footnote w:id="56">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w:t>
      </w:r>
      <w:r>
        <w:rPr>
          <w:i/>
          <w:sz w:val="22"/>
        </w:rPr>
        <w:t>Studies</w:t>
      </w:r>
      <w:r>
        <w:rPr>
          <w:sz w:val="22"/>
        </w:rPr>
        <w:t>, 58-62.</w:t>
      </w:r>
    </w:p>
  </w:footnote>
  <w:footnote w:id="57">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Horgan suggests that the use of the root</w:t>
      </w:r>
      <w:r>
        <w:rPr>
          <w:rFonts w:hint="cs"/>
          <w:sz w:val="22"/>
        </w:rPr>
        <w:t xml:space="preserve"> </w:t>
      </w:r>
      <w:r>
        <w:rPr>
          <w:rFonts w:ascii="אילת" w:hAnsi="אילת" w:cs="אילת" w:hint="cs"/>
          <w:sz w:val="22"/>
          <w:szCs w:val="22"/>
          <w:rtl/>
        </w:rPr>
        <w:t>פתר</w:t>
      </w:r>
      <w:r>
        <w:rPr>
          <w:sz w:val="22"/>
        </w:rPr>
        <w:t xml:space="preserve"> rather than </w:t>
      </w:r>
      <w:r>
        <w:rPr>
          <w:rFonts w:ascii="אילת" w:hAnsi="אילת" w:cs="אילת" w:hint="cs"/>
          <w:sz w:val="22"/>
          <w:szCs w:val="22"/>
          <w:rtl/>
        </w:rPr>
        <w:t>פשר</w:t>
      </w:r>
      <w:r>
        <w:rPr>
          <w:sz w:val="22"/>
        </w:rPr>
        <w:t xml:space="preserve"> in Genesis may have been a deliberate choice to avoid association with magic (</w:t>
      </w:r>
      <w:r>
        <w:rPr>
          <w:i/>
          <w:sz w:val="22"/>
        </w:rPr>
        <w:t>Pesharim</w:t>
      </w:r>
      <w:r>
        <w:rPr>
          <w:sz w:val="22"/>
        </w:rPr>
        <w:t xml:space="preserve">, 235). Schiffman takes the opposite view on both biblical dream interpretation and Qumran </w:t>
      </w:r>
      <w:r>
        <w:rPr>
          <w:i/>
          <w:sz w:val="22"/>
        </w:rPr>
        <w:t>pesher</w:t>
      </w:r>
      <w:r>
        <w:rPr>
          <w:sz w:val="22"/>
        </w:rPr>
        <w:t>, stating that “the efficacy of prophecy depends on its correct interpretation” (</w:t>
      </w:r>
      <w:r>
        <w:rPr>
          <w:i/>
          <w:sz w:val="22"/>
        </w:rPr>
        <w:t>Reclaiming the Dead Sea Scrolls</w:t>
      </w:r>
      <w:r>
        <w:rPr>
          <w:sz w:val="22"/>
        </w:rPr>
        <w:t xml:space="preserve"> [New York: Doubleday, 1994], 223).  This position is apparently predicated on a presumed parallel to other ancient Near Eastern views of dream interpretation.  However, it does not seem to be explicit in the Jewish sources themselves.</w:t>
      </w:r>
    </w:p>
  </w:footnote>
  <w:footnote w:id="58">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w:t>
      </w:r>
      <w:r>
        <w:rPr>
          <w:i/>
          <w:sz w:val="22"/>
        </w:rPr>
        <w:t>Habakuk-Kommentar</w:t>
      </w:r>
      <w:r>
        <w:rPr>
          <w:sz w:val="22"/>
        </w:rPr>
        <w:t>, 163.</w:t>
      </w:r>
    </w:p>
  </w:footnote>
  <w:footnote w:id="59">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w:t>
      </w:r>
      <w:r>
        <w:rPr>
          <w:i/>
          <w:sz w:val="22"/>
        </w:rPr>
        <w:t>Pêsher/Pittârôn</w:t>
      </w:r>
      <w:r>
        <w:rPr>
          <w:sz w:val="22"/>
        </w:rPr>
        <w:t>, 220.  Rabinowitz went to great lengths to define “</w:t>
      </w:r>
      <w:r>
        <w:rPr>
          <w:i/>
          <w:sz w:val="22"/>
        </w:rPr>
        <w:t>pitaron</w:t>
      </w:r>
      <w:r>
        <w:rPr>
          <w:sz w:val="22"/>
        </w:rPr>
        <w:t>” and “</w:t>
      </w:r>
      <w:r>
        <w:rPr>
          <w:i/>
          <w:sz w:val="22"/>
        </w:rPr>
        <w:t>pesher”</w:t>
      </w:r>
      <w:r>
        <w:rPr>
          <w:sz w:val="22"/>
        </w:rPr>
        <w:t xml:space="preserve"> as “presage,” which he explained has two meanings: “the presage of reality” (or the “as yet unfulfilled prognostic”) and the “realized” or “fully actualized presage” (223). </w:t>
      </w:r>
    </w:p>
  </w:footnote>
  <w:footnote w:id="60">
    <w:p w:rsidR="00C71FD3" w:rsidRDefault="00C71FD3" w:rsidP="00C71FD3">
      <w:pPr>
        <w:ind w:right="86"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Cf. Schiffman, </w:t>
      </w:r>
      <w:r>
        <w:rPr>
          <w:rFonts w:ascii="Times New Roman" w:hAnsi="Times New Roman"/>
          <w:i/>
          <w:sz w:val="22"/>
        </w:rPr>
        <w:t>Reclaiming</w:t>
      </w:r>
      <w:r>
        <w:rPr>
          <w:rFonts w:ascii="Times New Roman" w:hAnsi="Times New Roman"/>
          <w:sz w:val="22"/>
        </w:rPr>
        <w:t xml:space="preserve">, 225-27.  Schiffman also cites 1QpHab 2:6-10 and 7:1-5 as evidence of the divine source of the Teacher’s knowledge regarding the meaning of Habakkuk’s prophecies.  Rabinowitz states further that </w:t>
      </w:r>
      <w:r>
        <w:rPr>
          <w:rFonts w:ascii="Times New Roman" w:hAnsi="Times New Roman"/>
          <w:i/>
          <w:sz w:val="22"/>
        </w:rPr>
        <w:t>pesher</w:t>
      </w:r>
      <w:r>
        <w:rPr>
          <w:rFonts w:ascii="Times New Roman" w:hAnsi="Times New Roman"/>
          <w:sz w:val="22"/>
        </w:rPr>
        <w:t xml:space="preserve"> sees realities as having been “incorporated in the divine word, ... the word wherein one endowed with the necessary skill might detect the reality that would emerge ... and which could thus be disclosed to others in ‘ordinary language.’  The verb </w:t>
      </w:r>
      <w:r>
        <w:rPr>
          <w:rFonts w:ascii="אילת" w:hAnsi="אילת" w:cs="אילת" w:hint="cs"/>
          <w:sz w:val="22"/>
          <w:szCs w:val="22"/>
          <w:rtl/>
        </w:rPr>
        <w:t>פשר</w:t>
      </w:r>
      <w:r>
        <w:rPr>
          <w:rFonts w:ascii="Times New Roman" w:hAnsi="Times New Roman"/>
          <w:sz w:val="22"/>
        </w:rPr>
        <w:t xml:space="preserve"> /</w:t>
      </w:r>
      <w:r>
        <w:rPr>
          <w:rFonts w:ascii="Times New Roman" w:hAnsi="Times New Roman" w:hint="cs"/>
          <w:sz w:val="22"/>
          <w:lang w:val="el-GR"/>
        </w:rPr>
        <w:t xml:space="preserve"> </w:t>
      </w:r>
      <w:r>
        <w:rPr>
          <w:rFonts w:ascii="אילת" w:hAnsi="אילת" w:cs="אילת" w:hint="cs"/>
          <w:sz w:val="22"/>
          <w:szCs w:val="22"/>
          <w:rtl/>
        </w:rPr>
        <w:t>פתר</w:t>
      </w:r>
      <w:r>
        <w:rPr>
          <w:rFonts w:ascii="Times New Roman" w:hAnsi="Times New Roman"/>
          <w:sz w:val="22"/>
        </w:rPr>
        <w:t xml:space="preserve"> refers to “the practice of this art.”  Although acknowledging that the act of creating the </w:t>
      </w:r>
      <w:r>
        <w:rPr>
          <w:rFonts w:ascii="Times New Roman" w:hAnsi="Times New Roman"/>
          <w:i/>
          <w:sz w:val="22"/>
        </w:rPr>
        <w:t>pesher</w:t>
      </w:r>
      <w:r>
        <w:rPr>
          <w:rFonts w:ascii="Times New Roman" w:hAnsi="Times New Roman"/>
          <w:sz w:val="22"/>
        </w:rPr>
        <w:t xml:space="preserve"> involved a skill or art, Rabinowitz describes that art only in a negative sense—it is not exegetical.  Oddly, whereas Rabinowitz saw “</w:t>
      </w:r>
      <w:r>
        <w:rPr>
          <w:rFonts w:ascii="Times New Roman" w:hAnsi="Times New Roman"/>
          <w:i/>
          <w:sz w:val="22"/>
        </w:rPr>
        <w:t>pesher</w:t>
      </w:r>
      <w:r>
        <w:rPr>
          <w:rFonts w:ascii="Times New Roman" w:hAnsi="Times New Roman"/>
          <w:sz w:val="22"/>
        </w:rPr>
        <w:t xml:space="preserve"> as revelation” as a reason to dissociate</w:t>
      </w:r>
      <w:r>
        <w:rPr>
          <w:rFonts w:ascii="Times New Roman" w:hAnsi="Times New Roman"/>
          <w:i/>
          <w:sz w:val="22"/>
        </w:rPr>
        <w:t xml:space="preserve"> pesher</w:t>
      </w:r>
      <w:r>
        <w:rPr>
          <w:rFonts w:ascii="Times New Roman" w:hAnsi="Times New Roman"/>
          <w:sz w:val="22"/>
        </w:rPr>
        <w:t xml:space="preserve"> from midrash, Brownlee saw this feature as common to both (“Biblical Interpretation,” 76).</w:t>
      </w:r>
    </w:p>
  </w:footnote>
  <w:footnote w:id="61">
    <w:p w:rsidR="00C71FD3" w:rsidRDefault="00C71FD3" w:rsidP="00C71FD3">
      <w:pPr>
        <w:ind w:right="86"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Rabinowitz refers to Oppenheim in supporting his thesis that text-based explication is irrelevant to achieving revealed </w:t>
      </w:r>
      <w:r>
        <w:rPr>
          <w:rFonts w:ascii="Times New Roman" w:hAnsi="Times New Roman"/>
          <w:i/>
          <w:sz w:val="22"/>
        </w:rPr>
        <w:t>pesher</w:t>
      </w:r>
      <w:r>
        <w:rPr>
          <w:rFonts w:ascii="Times New Roman" w:hAnsi="Times New Roman"/>
          <w:sz w:val="22"/>
        </w:rPr>
        <w:t xml:space="preserve"> application (“</w:t>
      </w:r>
      <w:r>
        <w:rPr>
          <w:rFonts w:ascii="Times New Roman" w:hAnsi="Times New Roman"/>
          <w:i/>
          <w:sz w:val="22"/>
        </w:rPr>
        <w:t>Pêsher/Pittârôn</w:t>
      </w:r>
      <w:r>
        <w:rPr>
          <w:rFonts w:ascii="Times New Roman" w:hAnsi="Times New Roman"/>
          <w:sz w:val="22"/>
        </w:rPr>
        <w:t xml:space="preserve">,” 225). In light of the etymological parallel to Akkadian </w:t>
      </w:r>
      <w:r>
        <w:rPr>
          <w:rFonts w:ascii="Semitic" w:hAnsi="Semitic"/>
          <w:i/>
          <w:sz w:val="22"/>
        </w:rPr>
        <w:t>paßœru</w:t>
      </w:r>
      <w:r>
        <w:rPr>
          <w:rFonts w:ascii="Times New Roman" w:hAnsi="Times New Roman"/>
          <w:sz w:val="22"/>
        </w:rPr>
        <w:t xml:space="preserve">, Rabinowitz argues that we may extrapolate a similar parallel in the method (or non-method) of </w:t>
      </w:r>
      <w:r>
        <w:rPr>
          <w:rFonts w:ascii="Times New Roman" w:hAnsi="Times New Roman"/>
          <w:i/>
          <w:sz w:val="22"/>
        </w:rPr>
        <w:t>pesher</w:t>
      </w:r>
      <w:r>
        <w:rPr>
          <w:rFonts w:ascii="Times New Roman" w:hAnsi="Times New Roman"/>
          <w:sz w:val="22"/>
        </w:rPr>
        <w:t xml:space="preserve"> and Akkadian dream interpretation.  He cites Oppenheim to the effect that “no exegetic or hermeneutic approach is involved when one speaks of the interpreting of dreams in the ancient Near East” (</w:t>
      </w:r>
      <w:r>
        <w:rPr>
          <w:rFonts w:ascii="Times New Roman" w:hAnsi="Times New Roman"/>
          <w:i/>
          <w:sz w:val="22"/>
        </w:rPr>
        <w:t>Interpretation</w:t>
      </w:r>
      <w:r>
        <w:rPr>
          <w:rFonts w:ascii="Times New Roman" w:hAnsi="Times New Roman"/>
          <w:sz w:val="22"/>
        </w:rPr>
        <w:t>, 220).  However, I would interpret the ancient parallels as offering evidence of the presence of exegesis elsewhere in the Near East, rather than its absence.  G. Manetti argues in favor of discerning exegetical devices in Mesopotamian sign interpretation, and shows associative links between “signifieds” and “signifiers” (</w:t>
      </w:r>
      <w:r>
        <w:rPr>
          <w:rFonts w:ascii="Times New Roman" w:hAnsi="Times New Roman"/>
          <w:i/>
          <w:sz w:val="22"/>
        </w:rPr>
        <w:t>Theories of the Sign in Classical Antiquity,</w:t>
      </w:r>
      <w:r>
        <w:rPr>
          <w:rFonts w:ascii="Times New Roman" w:hAnsi="Times New Roman"/>
          <w:sz w:val="22"/>
        </w:rPr>
        <w:t xml:space="preserve"> transl. from Ital. by C. Richardson [Bloomington: Indiana Univ. Press: 1993], 1-13).  Cf. Stephen Lieberman, “A Mesopotamian Background for the So-Called </w:t>
      </w:r>
      <w:r>
        <w:rPr>
          <w:rFonts w:ascii="Times New Roman" w:hAnsi="Times New Roman"/>
          <w:i/>
          <w:sz w:val="22"/>
        </w:rPr>
        <w:t xml:space="preserve">Aggadic </w:t>
      </w:r>
      <w:r>
        <w:rPr>
          <w:rFonts w:ascii="Times New Roman" w:hAnsi="Times New Roman"/>
          <w:sz w:val="22"/>
        </w:rPr>
        <w:t>‘Measures’ of Biblical Hermeneutics,” 157-225.  Even Oppenheim concedes some use of “exegetic methods” in dream interpretation (</w:t>
      </w:r>
      <w:r>
        <w:rPr>
          <w:rFonts w:ascii="Times New Roman" w:hAnsi="Times New Roman"/>
          <w:i/>
          <w:sz w:val="22"/>
        </w:rPr>
        <w:t>Interpretation</w:t>
      </w:r>
      <w:r>
        <w:rPr>
          <w:rFonts w:ascii="Times New Roman" w:hAnsi="Times New Roman"/>
          <w:sz w:val="22"/>
        </w:rPr>
        <w:t>, 221).  M. Fishbane elaborates specifically upon shared exegetical techniques in Qumran</w:t>
      </w:r>
      <w:r>
        <w:rPr>
          <w:rFonts w:ascii="Times New Roman" w:hAnsi="Times New Roman"/>
          <w:i/>
          <w:sz w:val="22"/>
        </w:rPr>
        <w:t xml:space="preserve"> pesher </w:t>
      </w:r>
      <w:r>
        <w:rPr>
          <w:rFonts w:ascii="Times New Roman" w:hAnsi="Times New Roman"/>
          <w:sz w:val="22"/>
        </w:rPr>
        <w:t>and</w:t>
      </w:r>
      <w:r>
        <w:rPr>
          <w:rFonts w:ascii="Times New Roman" w:hAnsi="Times New Roman"/>
          <w:i/>
          <w:sz w:val="22"/>
        </w:rPr>
        <w:t xml:space="preserve"> </w:t>
      </w:r>
      <w:r>
        <w:rPr>
          <w:rFonts w:ascii="Times New Roman" w:hAnsi="Times New Roman"/>
          <w:sz w:val="22"/>
        </w:rPr>
        <w:t xml:space="preserve">ancient Near Eastern divination (“The Qumran Pesher and Traits of Ancient Hermeneutics,” </w:t>
      </w:r>
      <w:r>
        <w:rPr>
          <w:rFonts w:ascii="Times New Roman" w:hAnsi="Times New Roman"/>
          <w:i/>
          <w:sz w:val="22"/>
        </w:rPr>
        <w:t>WCJS</w:t>
      </w:r>
      <w:r>
        <w:rPr>
          <w:rFonts w:ascii="Times New Roman" w:hAnsi="Times New Roman"/>
          <w:sz w:val="22"/>
        </w:rPr>
        <w:t xml:space="preserve"> 6:1 [1977] 97-114).  See also, A. Finkel, “The Pesher of Dreams and Scriptures,” </w:t>
      </w:r>
      <w:r>
        <w:rPr>
          <w:rFonts w:ascii="Times New Roman" w:hAnsi="Times New Roman"/>
          <w:i/>
          <w:sz w:val="22"/>
        </w:rPr>
        <w:t xml:space="preserve">RevQ </w:t>
      </w:r>
      <w:r>
        <w:rPr>
          <w:rFonts w:ascii="Times New Roman" w:hAnsi="Times New Roman"/>
          <w:sz w:val="22"/>
        </w:rPr>
        <w:t xml:space="preserve">4 (1963-64) 364-70. </w:t>
      </w:r>
    </w:p>
  </w:footnote>
  <w:footnote w:id="62">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The adjectives are borrowed from Stephen Lieberman’s description of rabbinic hermeneutic and exegetical self-consciousness, “Mesopotamian Background,” 223.  Earlier, he noted that the employment of numerous and varied exegetical techniques will precede the formation of an “abstract classification” of a repertoire.  “Exegetes usually wend their way through their duties without bothering to consider whether they are using the Australian crawl, the backstroke, or the butterfly stroke” (</w:t>
      </w:r>
      <w:r>
        <w:rPr>
          <w:i/>
          <w:sz w:val="22"/>
        </w:rPr>
        <w:t>ibid</w:t>
      </w:r>
      <w:r>
        <w:rPr>
          <w:sz w:val="22"/>
        </w:rPr>
        <w:t>., 221).</w:t>
      </w:r>
    </w:p>
    <w:p w:rsidR="00C71FD3" w:rsidRDefault="00C71FD3" w:rsidP="00C71FD3">
      <w:pPr>
        <w:pStyle w:val="FootnoteText"/>
        <w:spacing w:line="240" w:lineRule="auto"/>
        <w:ind w:firstLine="180"/>
        <w:jc w:val="left"/>
        <w:rPr>
          <w:sz w:val="22"/>
        </w:rPr>
      </w:pPr>
      <w:r>
        <w:rPr>
          <w:sz w:val="22"/>
        </w:rPr>
        <w:t xml:space="preserve">Although the author of </w:t>
      </w:r>
      <w:r>
        <w:rPr>
          <w:i/>
          <w:sz w:val="22"/>
        </w:rPr>
        <w:t>pesher</w:t>
      </w:r>
      <w:r>
        <w:rPr>
          <w:sz w:val="22"/>
        </w:rPr>
        <w:t xml:space="preserve"> is likely to have proceeded without sensitivity to discrete methodological steps, it is nonetheless likely that he and his audience would have appreciated the general “exegetical” nature of his activity.  This is a plausible inference from the understanding of the Qumran Community’s attitude to </w:t>
      </w:r>
      <w:r>
        <w:rPr>
          <w:i/>
          <w:sz w:val="22"/>
        </w:rPr>
        <w:t>halakhic</w:t>
      </w:r>
      <w:r>
        <w:rPr>
          <w:sz w:val="22"/>
        </w:rPr>
        <w:t xml:space="preserve"> exegesis, as described below, section 4.  The self-awareness of the Qumran Community as biblical interpreters is evident in its terminology and in its explicit citation of biblical text.  Vermes raised the latter point in response to J. Neusner’s suggestion that </w:t>
      </w:r>
      <w:r>
        <w:rPr>
          <w:i/>
          <w:sz w:val="22"/>
        </w:rPr>
        <w:t>pesher</w:t>
      </w:r>
      <w:r>
        <w:rPr>
          <w:sz w:val="22"/>
        </w:rPr>
        <w:t xml:space="preserve"> not be considered to be exegesis since it reacts to events rather than Scripture (</w:t>
      </w:r>
      <w:r>
        <w:rPr>
          <w:i/>
          <w:sz w:val="22"/>
        </w:rPr>
        <w:t xml:space="preserve">Ancient Judaism and Modern Category Formation </w:t>
      </w:r>
      <w:r>
        <w:rPr>
          <w:sz w:val="22"/>
        </w:rPr>
        <w:t xml:space="preserve">[Lanham: University Press of America, 1986], 50).  Vermes rejected the idea that pesher is “historiography disguised as Bible Interpretation,” pointing to the systematic nature of continuous </w:t>
      </w:r>
      <w:r>
        <w:rPr>
          <w:i/>
          <w:sz w:val="22"/>
        </w:rPr>
        <w:t>pesher</w:t>
      </w:r>
      <w:r>
        <w:rPr>
          <w:sz w:val="22"/>
        </w:rPr>
        <w:t xml:space="preserve"> (“Bible Interpretation,” 190*).  Patte raised the question of the relationship between history and scripture in apocalyptic literature, where the situation is less straightforward, as is the related issue of the attitude to “unwritten” Torah presumed in such works (</w:t>
      </w:r>
      <w:r>
        <w:rPr>
          <w:i/>
          <w:sz w:val="22"/>
        </w:rPr>
        <w:t>Early Jewish Hermeneutic</w:t>
      </w:r>
      <w:r>
        <w:rPr>
          <w:sz w:val="22"/>
        </w:rPr>
        <w:t xml:space="preserve">, 142).  For an insightful examination of the Community’s self-perception in regard to revelation through Torah study, see A. Baumgarten, “The Zadokite Priests at Qumran,” </w:t>
      </w:r>
      <w:r>
        <w:rPr>
          <w:i/>
          <w:sz w:val="22"/>
        </w:rPr>
        <w:t xml:space="preserve">DSD </w:t>
      </w:r>
      <w:r>
        <w:rPr>
          <w:sz w:val="22"/>
        </w:rPr>
        <w:t>4 (1997) 137-56, esp. 142-43 and the literature cited there.</w:t>
      </w:r>
    </w:p>
  </w:footnote>
  <w:footnote w:id="63">
    <w:p w:rsidR="00C71FD3" w:rsidRDefault="00C71FD3" w:rsidP="00C71FD3">
      <w:pPr>
        <w:ind w:right="90" w:firstLine="180"/>
        <w:rPr>
          <w:rFonts w:ascii="Times New Roman" w:hAnsi="Times New Roman" w:hint="cs"/>
          <w:sz w:val="22"/>
        </w:rPr>
      </w:pPr>
      <w:r>
        <w:rPr>
          <w:rStyle w:val="FootnoteReference"/>
          <w:rFonts w:ascii="Times New Roman" w:hAnsi="Times New Roman"/>
          <w:sz w:val="22"/>
        </w:rPr>
        <w:footnoteRef/>
      </w:r>
      <w:r>
        <w:rPr>
          <w:rFonts w:ascii="Times New Roman" w:hAnsi="Times New Roman"/>
          <w:sz w:val="22"/>
        </w:rPr>
        <w:t xml:space="preserve"> “Unriddling”, 331.  The “</w:t>
      </w:r>
      <w:r>
        <w:rPr>
          <w:rFonts w:ascii="Times New Roman" w:hAnsi="Times New Roman"/>
          <w:i/>
          <w:sz w:val="22"/>
        </w:rPr>
        <w:t>mene-tekel</w:t>
      </w:r>
      <w:r>
        <w:rPr>
          <w:rFonts w:ascii="Times New Roman" w:hAnsi="Times New Roman"/>
          <w:sz w:val="22"/>
        </w:rPr>
        <w:t xml:space="preserve">...” of the writing may have appeared to be gibberish at first, but once the meaning is revealed, we discern an intrinsic relationship between the interpretation and the sense of the words.  Silberman cites R. H. Charles on the intrinsic relationship between “Mina, mina, a shekel, and two half-minas”(or half a mina) and the allusion to political break-up.  Cf. </w:t>
      </w:r>
      <w:r>
        <w:rPr>
          <w:rFonts w:ascii="Times New Roman" w:hAnsi="Times New Roman"/>
          <w:i/>
          <w:sz w:val="22"/>
        </w:rPr>
        <w:t>ICC, Daniel</w:t>
      </w:r>
      <w:r>
        <w:rPr>
          <w:rFonts w:ascii="Times New Roman" w:hAnsi="Times New Roman"/>
          <w:sz w:val="22"/>
        </w:rPr>
        <w:t xml:space="preserve">, 115, 133-137.  Although the connection is indeed strong, it is not universally appreciated, and the conventional view of the book of Daniel perceives only its revelatory aspect.  This mistaken approach is found even in the work of E. Slomovic, who sought to appreciate a synthesis in </w:t>
      </w:r>
      <w:r>
        <w:rPr>
          <w:rFonts w:ascii="Times New Roman" w:hAnsi="Times New Roman"/>
          <w:i/>
          <w:sz w:val="22"/>
        </w:rPr>
        <w:t>pesher</w:t>
      </w:r>
      <w:r>
        <w:rPr>
          <w:rFonts w:ascii="Times New Roman" w:hAnsi="Times New Roman"/>
          <w:sz w:val="22"/>
        </w:rPr>
        <w:t xml:space="preserve">, which he recognized as both employing literary devices and relying upon “charismatic revelation.”  Nevertheless, he stated that </w:t>
      </w:r>
      <w:r>
        <w:rPr>
          <w:rFonts w:ascii="Times New Roman" w:hAnsi="Times New Roman"/>
          <w:i/>
          <w:sz w:val="22"/>
        </w:rPr>
        <w:t>pesher</w:t>
      </w:r>
      <w:r>
        <w:rPr>
          <w:rFonts w:ascii="Times New Roman" w:hAnsi="Times New Roman"/>
          <w:sz w:val="22"/>
        </w:rPr>
        <w:t xml:space="preserve"> resembles midrash in its use of hermeneutical rules, but also exhibits a revelatory aspect that is closer to exegesis found in the Bible itself, particularly the book of Daniel.  In his view, this latter perspective “minimizes the function of hermeneutics, [and] rejects in the main a methodological connection between the text and the commentary” (“Toward an Understanding of the Exegesis in the Dead Sea Scrolls,” </w:t>
      </w:r>
      <w:r>
        <w:rPr>
          <w:rFonts w:ascii="Times New Roman" w:hAnsi="Times New Roman"/>
          <w:i/>
          <w:sz w:val="22"/>
        </w:rPr>
        <w:t>RevQ</w:t>
      </w:r>
      <w:r>
        <w:rPr>
          <w:rFonts w:ascii="Times New Roman" w:hAnsi="Times New Roman"/>
          <w:sz w:val="22"/>
        </w:rPr>
        <w:t xml:space="preserve"> 7 [1969] 5).  On the use of exegetical techniques in dream and oracle interpretation, see n. 62 above.</w:t>
      </w:r>
    </w:p>
  </w:footnote>
  <w:footnote w:id="64">
    <w:p w:rsidR="00C71FD3" w:rsidRDefault="00C71FD3" w:rsidP="00C71FD3">
      <w:pPr>
        <w:ind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Hence, his definition of  </w:t>
      </w:r>
      <w:r>
        <w:rPr>
          <w:rFonts w:ascii="Times New Roman" w:hAnsi="Times New Roman"/>
          <w:i/>
          <w:sz w:val="22"/>
        </w:rPr>
        <w:t>pesher</w:t>
      </w:r>
      <w:r>
        <w:rPr>
          <w:rFonts w:ascii="Times New Roman" w:hAnsi="Times New Roman"/>
          <w:sz w:val="22"/>
        </w:rPr>
        <w:t xml:space="preserve"> as a sort of midrash.  Cf. </w:t>
      </w:r>
      <w:r>
        <w:rPr>
          <w:rFonts w:ascii="Times New Roman" w:hAnsi="Times New Roman"/>
          <w:i/>
          <w:sz w:val="22"/>
        </w:rPr>
        <w:t>Midrash Pesher of Habakkuk</w:t>
      </w:r>
      <w:r>
        <w:rPr>
          <w:rFonts w:ascii="Times New Roman" w:hAnsi="Times New Roman"/>
          <w:sz w:val="22"/>
        </w:rPr>
        <w:t xml:space="preserve">, SBLMS 24 (Missoula: Scholars Press, 1979); “The Historical Allusions of the Dead Sea Habakkuk Midrash,” </w:t>
      </w:r>
      <w:r>
        <w:rPr>
          <w:rFonts w:ascii="Times New Roman" w:hAnsi="Times New Roman"/>
          <w:i/>
          <w:sz w:val="22"/>
        </w:rPr>
        <w:t>BASOR</w:t>
      </w:r>
      <w:r>
        <w:rPr>
          <w:rFonts w:ascii="Times New Roman" w:hAnsi="Times New Roman"/>
          <w:sz w:val="22"/>
        </w:rPr>
        <w:t xml:space="preserve"> 126 (1950) 10-20; “The Habakkuk Midrash and the Targum of Jonathan,” </w:t>
      </w:r>
      <w:r>
        <w:rPr>
          <w:rFonts w:ascii="Times New Roman" w:hAnsi="Times New Roman"/>
          <w:i/>
          <w:sz w:val="22"/>
        </w:rPr>
        <w:t xml:space="preserve">JJS </w:t>
      </w:r>
      <w:r>
        <w:rPr>
          <w:rFonts w:ascii="Times New Roman" w:hAnsi="Times New Roman"/>
          <w:sz w:val="22"/>
        </w:rPr>
        <w:t xml:space="preserve">7 (1956) 169-86; and “Biblical Interpretation,” 75-76.  Brownlee did not see </w:t>
      </w:r>
      <w:r>
        <w:rPr>
          <w:rFonts w:ascii="Times New Roman" w:hAnsi="Times New Roman"/>
          <w:i/>
          <w:sz w:val="22"/>
        </w:rPr>
        <w:t>pesher</w:t>
      </w:r>
      <w:r>
        <w:rPr>
          <w:rFonts w:ascii="Times New Roman" w:hAnsi="Times New Roman"/>
          <w:sz w:val="22"/>
        </w:rPr>
        <w:t xml:space="preserve"> as equivalent to midrash in literary form, or in content, but he saw an equivalence in the “mode of exegesis.”  Brownlee drew a parallel between the use of hermeneutic principles for rabbinic halakhic exegesis and for the eschatological interpretations of </w:t>
      </w:r>
      <w:r>
        <w:rPr>
          <w:rFonts w:ascii="Times New Roman" w:hAnsi="Times New Roman"/>
          <w:i/>
          <w:sz w:val="22"/>
        </w:rPr>
        <w:t>pesher</w:t>
      </w:r>
      <w:r>
        <w:rPr>
          <w:rFonts w:ascii="Times New Roman" w:hAnsi="Times New Roman"/>
          <w:sz w:val="22"/>
        </w:rPr>
        <w:t xml:space="preserve">.  As the Rabbis sought scriptural support for laws they believed to be of divine origin, maintaining that these laws were really in the Pentateuch, and could be derived from it, so did </w:t>
      </w:r>
      <w:r>
        <w:rPr>
          <w:rFonts w:ascii="Times New Roman" w:hAnsi="Times New Roman"/>
          <w:i/>
          <w:sz w:val="22"/>
        </w:rPr>
        <w:t>pesher</w:t>
      </w:r>
      <w:r>
        <w:rPr>
          <w:rFonts w:ascii="Times New Roman" w:hAnsi="Times New Roman"/>
          <w:sz w:val="22"/>
        </w:rPr>
        <w:t xml:space="preserve"> seek support for historical predictions. His limitation of the comparison to </w:t>
      </w:r>
      <w:r>
        <w:rPr>
          <w:rFonts w:ascii="Times New Roman" w:hAnsi="Times New Roman"/>
          <w:i/>
          <w:sz w:val="22"/>
        </w:rPr>
        <w:t>halakhic midrash</w:t>
      </w:r>
      <w:r>
        <w:rPr>
          <w:rFonts w:ascii="Times New Roman" w:hAnsi="Times New Roman"/>
          <w:sz w:val="22"/>
        </w:rPr>
        <w:t xml:space="preserve"> presumably lies in the authoritative nature of the exegeses which would not be applicable in the case of rabbinic </w:t>
      </w:r>
      <w:r>
        <w:rPr>
          <w:rFonts w:ascii="Times New Roman" w:hAnsi="Times New Roman"/>
          <w:i/>
          <w:sz w:val="22"/>
        </w:rPr>
        <w:t>aggada</w:t>
      </w:r>
      <w:r>
        <w:rPr>
          <w:rFonts w:ascii="Times New Roman" w:hAnsi="Times New Roman"/>
          <w:sz w:val="22"/>
        </w:rPr>
        <w:t>.</w:t>
      </w:r>
    </w:p>
  </w:footnote>
  <w:footnote w:id="65">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“Biblical Interpretation,” listed on pp. 60-61.  Cf. Silberman, “A Note on 4QFlorilegium,” </w:t>
      </w:r>
      <w:r>
        <w:rPr>
          <w:i/>
          <w:sz w:val="22"/>
        </w:rPr>
        <w:t>JBL</w:t>
      </w:r>
      <w:r>
        <w:rPr>
          <w:sz w:val="22"/>
        </w:rPr>
        <w:t xml:space="preserve"> 88 (1959) 158-59.</w:t>
      </w:r>
    </w:p>
  </w:footnote>
  <w:footnote w:id="66">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Thus, for example, Fishbane listed techniques that are found in both </w:t>
      </w:r>
      <w:r>
        <w:rPr>
          <w:i/>
          <w:sz w:val="22"/>
        </w:rPr>
        <w:t>pesher</w:t>
      </w:r>
      <w:r>
        <w:rPr>
          <w:sz w:val="22"/>
        </w:rPr>
        <w:t xml:space="preserve"> and ancient Near Eastern interpretations of oracles, dreams, and omens. “Qumran Pesher,” 98-100.  He names (1) citation and atomization; (2) multiple interpretations; (3) paranomasia; (4) symbols; (5) </w:t>
      </w:r>
      <w:r>
        <w:rPr>
          <w:i/>
          <w:sz w:val="22"/>
        </w:rPr>
        <w:t>notarikon</w:t>
      </w:r>
      <w:r>
        <w:rPr>
          <w:sz w:val="22"/>
        </w:rPr>
        <w:t>, including acrostic, acronym, and anagram; (6) gematria (albeit with the caveat that the last technique is “not certain at Qumran”).  Bruce lists the following: (1) atomization; (2) variant readings; (3) allegorization; (4) “re-interpretation” (</w:t>
      </w:r>
      <w:r>
        <w:rPr>
          <w:i/>
          <w:sz w:val="22"/>
        </w:rPr>
        <w:t>Biblical Exegesis</w:t>
      </w:r>
      <w:r>
        <w:rPr>
          <w:sz w:val="22"/>
        </w:rPr>
        <w:t>, 16).  Horgan apparently uses the criterion of the level of adherence to the base-text.  Her categories are (1) the adoption and adaptation of the actions, ideas, and words of the lemma to a different historical context; (2) the removal of isolated elements (“key words, roots, or ideas”) from the lemma to use as the basis for describing a new historical reality; (3) metaphoric identification of lemma elements; (4) loose connection to the lemma (</w:t>
      </w:r>
      <w:r>
        <w:rPr>
          <w:i/>
          <w:sz w:val="22"/>
        </w:rPr>
        <w:t>Pesharim</w:t>
      </w:r>
      <w:r>
        <w:rPr>
          <w:sz w:val="22"/>
        </w:rPr>
        <w:t>, 244).</w:t>
      </w:r>
    </w:p>
  </w:footnote>
  <w:footnote w:id="67">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w:t>
      </w:r>
      <w:r>
        <w:rPr>
          <w:rFonts w:ascii="אילת" w:hAnsi="אילת" w:cs="אילת" w:hint="cs"/>
          <w:sz w:val="22"/>
          <w:szCs w:val="22"/>
          <w:rtl/>
        </w:rPr>
        <w:t>מגילת פשר חבקוק</w:t>
      </w:r>
      <w:r>
        <w:rPr>
          <w:sz w:val="22"/>
        </w:rPr>
        <w:t xml:space="preserve">, </w:t>
      </w:r>
      <w:r>
        <w:rPr>
          <w:rFonts w:hint="cs"/>
          <w:sz w:val="22"/>
        </w:rPr>
        <w:t>40-54</w:t>
      </w:r>
      <w:r>
        <w:rPr>
          <w:sz w:val="22"/>
        </w:rPr>
        <w:t>.</w:t>
      </w:r>
    </w:p>
  </w:footnote>
  <w:footnote w:id="68">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She distinguishes between “</w:t>
      </w:r>
      <w:r>
        <w:rPr>
          <w:i/>
          <w:sz w:val="22"/>
        </w:rPr>
        <w:t>stylistic paraphrase</w:t>
      </w:r>
      <w:r>
        <w:rPr>
          <w:sz w:val="22"/>
        </w:rPr>
        <w:t>” (which re-states an idea of the lemma) and “</w:t>
      </w:r>
      <w:r>
        <w:rPr>
          <w:i/>
          <w:sz w:val="22"/>
        </w:rPr>
        <w:t>exegetical paraphrase</w:t>
      </w:r>
      <w:r>
        <w:rPr>
          <w:sz w:val="22"/>
        </w:rPr>
        <w:t xml:space="preserve"> (which applies the lemma in a new way),” </w:t>
      </w:r>
      <w:r>
        <w:rPr>
          <w:i/>
          <w:sz w:val="22"/>
        </w:rPr>
        <w:t>ibid.</w:t>
      </w:r>
      <w:r>
        <w:rPr>
          <w:sz w:val="22"/>
        </w:rPr>
        <w:t>, 40-42.  Cf. Brownlee, #5; Bruce’s “re-interpretation”; Horgan’s “adoption and adaptation....”.</w:t>
      </w:r>
    </w:p>
  </w:footnote>
  <w:footnote w:id="69">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She differentiates between the use of </w:t>
      </w:r>
      <w:r>
        <w:rPr>
          <w:i/>
          <w:sz w:val="22"/>
        </w:rPr>
        <w:t>traditional</w:t>
      </w:r>
      <w:r>
        <w:rPr>
          <w:sz w:val="22"/>
        </w:rPr>
        <w:t xml:space="preserve"> Jewish </w:t>
      </w:r>
      <w:r>
        <w:rPr>
          <w:i/>
          <w:sz w:val="22"/>
        </w:rPr>
        <w:t>allegory</w:t>
      </w:r>
      <w:r>
        <w:rPr>
          <w:sz w:val="22"/>
        </w:rPr>
        <w:t xml:space="preserve"> and the development of original </w:t>
      </w:r>
      <w:r>
        <w:rPr>
          <w:i/>
          <w:sz w:val="22"/>
        </w:rPr>
        <w:t>sectarian allegory</w:t>
      </w:r>
      <w:r>
        <w:rPr>
          <w:sz w:val="22"/>
        </w:rPr>
        <w:t>, in which new symbolic traditions were established (</w:t>
      </w:r>
      <w:r>
        <w:rPr>
          <w:i/>
          <w:sz w:val="22"/>
        </w:rPr>
        <w:t>ibid.</w:t>
      </w:r>
      <w:r>
        <w:rPr>
          <w:sz w:val="22"/>
        </w:rPr>
        <w:t>,</w:t>
      </w:r>
      <w:r>
        <w:rPr>
          <w:i/>
          <w:sz w:val="22"/>
        </w:rPr>
        <w:t xml:space="preserve"> </w:t>
      </w:r>
      <w:r>
        <w:rPr>
          <w:sz w:val="22"/>
        </w:rPr>
        <w:t>43-46).  Cf. Brownlee, #6; Bruce’s “allegorization;” Horgan’s “metaphoric identification.”  Nitzan focuses specifically on “building imagery.”</w:t>
      </w:r>
    </w:p>
  </w:footnote>
  <w:footnote w:id="70">
    <w:p w:rsidR="00C71FD3" w:rsidRDefault="00C71FD3" w:rsidP="00C71FD3">
      <w:pPr>
        <w:spacing w:after="240"/>
        <w:ind w:right="86"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w:t>
      </w:r>
      <w:r>
        <w:rPr>
          <w:rFonts w:ascii="Times New Roman" w:hAnsi="Times New Roman"/>
          <w:i/>
          <w:sz w:val="22"/>
        </w:rPr>
        <w:t xml:space="preserve">Ibid., </w:t>
      </w:r>
      <w:r>
        <w:rPr>
          <w:rFonts w:ascii="Times New Roman" w:hAnsi="Times New Roman"/>
          <w:sz w:val="22"/>
        </w:rPr>
        <w:t>46-51.  Cf. Bruce’s “variant readings.” Nitzan speaks of the multiplicity of both readings and meanings.  The term “</w:t>
      </w:r>
      <w:r>
        <w:rPr>
          <w:rFonts w:ascii="Times New Roman" w:hAnsi="Times New Roman"/>
          <w:i/>
          <w:sz w:val="22"/>
        </w:rPr>
        <w:t>multiple meanings</w:t>
      </w:r>
      <w:r>
        <w:rPr>
          <w:rFonts w:ascii="Times New Roman" w:hAnsi="Times New Roman"/>
          <w:sz w:val="22"/>
        </w:rPr>
        <w:t xml:space="preserve">” refers to the use of various denotations and connotations of a particular word or sound (“polysemy”; Carmignac’s “amphibologie”, </w:t>
      </w:r>
      <w:r>
        <w:rPr>
          <w:rFonts w:ascii="Times New Roman" w:hAnsi="Times New Roman"/>
          <w:i/>
          <w:sz w:val="22"/>
        </w:rPr>
        <w:t>Les Textes</w:t>
      </w:r>
      <w:r>
        <w:rPr>
          <w:rFonts w:ascii="Times New Roman" w:hAnsi="Times New Roman"/>
          <w:sz w:val="22"/>
        </w:rPr>
        <w:t>, 47), as well as the use of word plays deriving from paronomosia or isolexism.  “</w:t>
      </w:r>
      <w:r>
        <w:rPr>
          <w:rFonts w:ascii="Times New Roman" w:hAnsi="Times New Roman"/>
          <w:i/>
          <w:sz w:val="22"/>
        </w:rPr>
        <w:t>Multiple readings</w:t>
      </w:r>
      <w:r>
        <w:rPr>
          <w:rFonts w:ascii="Times New Roman" w:hAnsi="Times New Roman"/>
          <w:sz w:val="22"/>
        </w:rPr>
        <w:t xml:space="preserve">” describes the formation of </w:t>
      </w:r>
      <w:r>
        <w:rPr>
          <w:rFonts w:ascii="Times New Roman" w:hAnsi="Times New Roman"/>
          <w:i/>
          <w:sz w:val="22"/>
        </w:rPr>
        <w:t>pesher</w:t>
      </w:r>
      <w:r>
        <w:rPr>
          <w:rFonts w:ascii="Times New Roman" w:hAnsi="Times New Roman"/>
          <w:sz w:val="22"/>
        </w:rPr>
        <w:t xml:space="preserve"> through deviations from a given root.  This category could be further divided, though only theoretically, between actual textual variants, and exegetical word plays upon the letters or sounds of a word, such as anagram, or paragram.  On a practical level, since we do not know what the biblical </w:t>
      </w:r>
      <w:r>
        <w:rPr>
          <w:rFonts w:ascii="Times New Roman" w:hAnsi="Times New Roman"/>
          <w:i/>
          <w:sz w:val="22"/>
        </w:rPr>
        <w:t>Vorlage</w:t>
      </w:r>
      <w:r>
        <w:rPr>
          <w:rFonts w:ascii="Times New Roman" w:hAnsi="Times New Roman"/>
          <w:sz w:val="22"/>
        </w:rPr>
        <w:t xml:space="preserve"> of the </w:t>
      </w:r>
      <w:r>
        <w:rPr>
          <w:rFonts w:ascii="Times New Roman" w:hAnsi="Times New Roman"/>
          <w:i/>
          <w:sz w:val="22"/>
        </w:rPr>
        <w:t>pesher</w:t>
      </w:r>
      <w:r>
        <w:rPr>
          <w:rFonts w:ascii="Times New Roman" w:hAnsi="Times New Roman"/>
          <w:sz w:val="22"/>
        </w:rPr>
        <w:t xml:space="preserve">’s author looked like, we cannot know where variants from it appear in his lemma, let alone whether a particular variant would be deliberate or inadvertent.  Even when </w:t>
      </w:r>
      <w:r>
        <w:rPr>
          <w:rFonts w:ascii="Times New Roman" w:hAnsi="Times New Roman"/>
          <w:i/>
          <w:sz w:val="22"/>
        </w:rPr>
        <w:t>lemma</w:t>
      </w:r>
      <w:r>
        <w:rPr>
          <w:rFonts w:ascii="Times New Roman" w:hAnsi="Times New Roman"/>
          <w:sz w:val="22"/>
        </w:rPr>
        <w:t xml:space="preserve"> and </w:t>
      </w:r>
      <w:r>
        <w:rPr>
          <w:rFonts w:ascii="Times New Roman" w:hAnsi="Times New Roman"/>
          <w:i/>
          <w:sz w:val="22"/>
        </w:rPr>
        <w:t>pesher</w:t>
      </w:r>
      <w:r>
        <w:rPr>
          <w:rFonts w:ascii="Times New Roman" w:hAnsi="Times New Roman"/>
          <w:sz w:val="22"/>
        </w:rPr>
        <w:t xml:space="preserve"> clearly reflect more than one reading, we cannot be certain whether the variation is textual or exegetical within the </w:t>
      </w:r>
      <w:r>
        <w:rPr>
          <w:rFonts w:ascii="Times New Roman" w:hAnsi="Times New Roman"/>
          <w:i/>
          <w:sz w:val="22"/>
        </w:rPr>
        <w:t>pesher</w:t>
      </w:r>
      <w:r>
        <w:rPr>
          <w:rFonts w:ascii="Times New Roman" w:hAnsi="Times New Roman"/>
          <w:sz w:val="22"/>
        </w:rPr>
        <w:t>.  In this context, Nitzan addresses the relevant rabbinic technique of “</w:t>
      </w:r>
      <w:r>
        <w:rPr>
          <w:rFonts w:ascii="Times New Roman" w:hAnsi="Times New Roman"/>
          <w:i/>
          <w:sz w:val="22"/>
        </w:rPr>
        <w:t>‘al tiqre</w:t>
      </w:r>
      <w:r>
        <w:rPr>
          <w:rFonts w:ascii="Times New Roman" w:hAnsi="Times New Roman"/>
          <w:sz w:val="22"/>
        </w:rPr>
        <w:t xml:space="preserve">” (p. 51).  Cf. M. J. Bernstein, “4Q252 i 2 </w:t>
      </w:r>
      <w:r>
        <w:rPr>
          <w:rFonts w:ascii="אילת" w:hAnsi="אילת" w:cs="אילת" w:hint="cs"/>
          <w:sz w:val="22"/>
          <w:szCs w:val="22"/>
          <w:rtl/>
        </w:rPr>
        <w:t>לא</w:t>
      </w:r>
      <w:r>
        <w:rPr>
          <w:rFonts w:ascii="אילת" w:hAnsi="אילת" w:hint="cs"/>
          <w:sz w:val="22"/>
        </w:rPr>
        <w:t xml:space="preserve"> </w:t>
      </w:r>
      <w:r>
        <w:rPr>
          <w:rFonts w:ascii="אילת" w:hAnsi="אילת" w:cs="אילת" w:hint="cs"/>
          <w:sz w:val="22"/>
          <w:szCs w:val="22"/>
          <w:rtl/>
        </w:rPr>
        <w:t>ידור</w:t>
      </w:r>
      <w:r>
        <w:rPr>
          <w:rFonts w:ascii="אילת" w:hAnsi="אילת" w:hint="cs"/>
          <w:sz w:val="22"/>
        </w:rPr>
        <w:t xml:space="preserve"> </w:t>
      </w:r>
      <w:r>
        <w:rPr>
          <w:rFonts w:ascii="אילת" w:hAnsi="אילת" w:cs="אילת" w:hint="cs"/>
          <w:sz w:val="22"/>
          <w:szCs w:val="22"/>
          <w:rtl/>
        </w:rPr>
        <w:t>רוחי</w:t>
      </w:r>
      <w:r>
        <w:rPr>
          <w:rFonts w:ascii="אילת" w:hAnsi="אילת" w:hint="cs"/>
          <w:sz w:val="22"/>
        </w:rPr>
        <w:t xml:space="preserve"> </w:t>
      </w:r>
      <w:r>
        <w:rPr>
          <w:rFonts w:ascii="אילת" w:hAnsi="אילת" w:cs="אילת" w:hint="cs"/>
          <w:sz w:val="22"/>
          <w:szCs w:val="22"/>
          <w:rtl/>
        </w:rPr>
        <w:t>לעולם</w:t>
      </w:r>
      <w:r>
        <w:rPr>
          <w:rFonts w:ascii="Times New Roman" w:hAnsi="Times New Roman"/>
          <w:sz w:val="22"/>
        </w:rPr>
        <w:t xml:space="preserve">, Biblical Text or Biblical Interpretation?”  Doudna argues against the supposition that the authors of the </w:t>
      </w:r>
      <w:r>
        <w:rPr>
          <w:rFonts w:ascii="Times New Roman" w:hAnsi="Times New Roman"/>
          <w:i/>
          <w:sz w:val="22"/>
        </w:rPr>
        <w:t>pesharim</w:t>
      </w:r>
      <w:r>
        <w:rPr>
          <w:rFonts w:ascii="Times New Roman" w:hAnsi="Times New Roman"/>
          <w:sz w:val="22"/>
        </w:rPr>
        <w:t xml:space="preserve"> were aware of and used textual variants </w:t>
      </w:r>
      <w:r>
        <w:rPr>
          <w:rFonts w:ascii="Times New Roman" w:hAnsi="Times New Roman"/>
          <w:i/>
          <w:sz w:val="22"/>
        </w:rPr>
        <w:t>(4Q Pesher Nahum</w:t>
      </w:r>
      <w:r>
        <w:rPr>
          <w:rFonts w:ascii="Times New Roman" w:hAnsi="Times New Roman"/>
          <w:sz w:val="22"/>
        </w:rPr>
        <w:t>, 67-70).  It is our contention that textual variants were utilized, but that the way in which this was done is presently irretrievable.  Cf. G. J. Brooke,  “The Biblical Texts in the Qumran Commentaries: Scribal Errors or Exegetical Variants?” C. A. Evans and W. F. Stinespring, ed.,</w:t>
      </w:r>
      <w:r>
        <w:rPr>
          <w:rFonts w:ascii="Times New Roman" w:hAnsi="Times New Roman"/>
          <w:i/>
          <w:sz w:val="22"/>
        </w:rPr>
        <w:t xml:space="preserve"> Early Jewish and Christian Exegesis: Studies in Memory of William Hugh Brownlee</w:t>
      </w:r>
      <w:r>
        <w:rPr>
          <w:rFonts w:ascii="Times New Roman" w:hAnsi="Times New Roman"/>
          <w:sz w:val="22"/>
        </w:rPr>
        <w:t xml:space="preserve"> (Atlanta: Scholar’s Press, 1987), 85-100.</w:t>
      </w:r>
    </w:p>
  </w:footnote>
  <w:footnote w:id="71">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This is our rather free rendering of Nitzan’s “</w:t>
      </w:r>
      <w:r>
        <w:rPr>
          <w:rFonts w:ascii="אילת" w:hAnsi="אילת" w:cs="אילת" w:hint="cs"/>
          <w:sz w:val="22"/>
          <w:szCs w:val="22"/>
          <w:rtl/>
        </w:rPr>
        <w:t>נתוק ההקשר</w:t>
      </w:r>
      <w:r>
        <w:rPr>
          <w:sz w:val="22"/>
        </w:rPr>
        <w:t>”, 51-54</w:t>
      </w:r>
      <w:r>
        <w:rPr>
          <w:rFonts w:hint="cs"/>
          <w:sz w:val="22"/>
        </w:rPr>
        <w:t>.</w:t>
      </w:r>
      <w:r>
        <w:rPr>
          <w:sz w:val="22"/>
        </w:rPr>
        <w:t xml:space="preserve">  This term is preferable to the “atomization” of Elliger and Bruce, or even Horgan’s intermediate description of the “removal of isolated elements.”</w:t>
      </w:r>
    </w:p>
  </w:footnote>
  <w:footnote w:id="72">
    <w:p w:rsidR="00C71FD3" w:rsidRDefault="00C71FD3" w:rsidP="00C71FD3">
      <w:pPr>
        <w:ind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Nitzan’s </w:t>
      </w:r>
      <w:r>
        <w:rPr>
          <w:rFonts w:ascii="אילת" w:hAnsi="אילת" w:cs="אילת" w:hint="cs"/>
          <w:sz w:val="22"/>
          <w:szCs w:val="22"/>
          <w:rtl/>
        </w:rPr>
        <w:t>התאמה</w:t>
      </w:r>
      <w:r>
        <w:rPr>
          <w:rFonts w:ascii="Times New Roman" w:hAnsi="Times New Roman"/>
          <w:sz w:val="22"/>
        </w:rPr>
        <w:t>, 33; The word “correlation” was used in this context by Finkel (“The Pesher of Dreams,” 364).  Cf. S. Berrin, “Lemma/</w:t>
      </w:r>
      <w:r>
        <w:rPr>
          <w:rFonts w:ascii="Times New Roman" w:hAnsi="Times New Roman"/>
          <w:i/>
          <w:sz w:val="22"/>
        </w:rPr>
        <w:t>Pesher</w:t>
      </w:r>
      <w:r>
        <w:rPr>
          <w:rFonts w:ascii="Times New Roman" w:hAnsi="Times New Roman"/>
          <w:sz w:val="22"/>
        </w:rPr>
        <w:t xml:space="preserve"> Correspondence in Pesher Nahum,” L. H. Schiffman, E. Tov, and J. C. VanderKam , ed., </w:t>
      </w:r>
      <w:r>
        <w:rPr>
          <w:rFonts w:ascii="Times New Roman" w:hAnsi="Times New Roman"/>
          <w:i/>
          <w:sz w:val="22"/>
        </w:rPr>
        <w:t>The Dead Sea Scrolls Fifty Years After Their Discovery</w:t>
      </w:r>
      <w:r>
        <w:rPr>
          <w:rFonts w:ascii="Times New Roman" w:hAnsi="Times New Roman"/>
          <w:sz w:val="22"/>
        </w:rPr>
        <w:t xml:space="preserve"> (Jerusalem: Israel Exploration Society, 2000), 341-50.</w:t>
      </w:r>
    </w:p>
  </w:footnote>
  <w:footnote w:id="73">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Cf. Nitzan, 81-103, on “style.”  Brownlee listed the use of other scriptural passages as his thirteenth “hermeneutical principle”, but it is more appropriate to describe this technique in terms of style and expression.</w:t>
      </w:r>
    </w:p>
  </w:footnote>
  <w:footnote w:id="74">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Cf. esp. pp. 51-54.</w:t>
      </w:r>
    </w:p>
  </w:footnote>
  <w:footnote w:id="75">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Elliger himself had acknowledged literary practices in </w:t>
      </w:r>
      <w:r>
        <w:rPr>
          <w:i/>
          <w:sz w:val="22"/>
        </w:rPr>
        <w:t>pesher</w:t>
      </w:r>
      <w:r>
        <w:rPr>
          <w:sz w:val="22"/>
        </w:rPr>
        <w:t>.  He saw lemma/</w:t>
      </w:r>
      <w:r>
        <w:rPr>
          <w:i/>
          <w:sz w:val="22"/>
        </w:rPr>
        <w:t>pesher</w:t>
      </w:r>
      <w:r>
        <w:rPr>
          <w:sz w:val="22"/>
        </w:rPr>
        <w:t xml:space="preserve"> correlation as functioning to strengthen the perception of the </w:t>
      </w:r>
      <w:r>
        <w:rPr>
          <w:i/>
          <w:sz w:val="22"/>
        </w:rPr>
        <w:t>pesher</w:t>
      </w:r>
      <w:r>
        <w:rPr>
          <w:sz w:val="22"/>
        </w:rPr>
        <w:t xml:space="preserve"> as the true revelation of the prophetic words (</w:t>
      </w:r>
      <w:r>
        <w:rPr>
          <w:i/>
          <w:sz w:val="22"/>
        </w:rPr>
        <w:t>Habakuk-Kommentar</w:t>
      </w:r>
      <w:r>
        <w:rPr>
          <w:sz w:val="22"/>
        </w:rPr>
        <w:t xml:space="preserve">, 127-30).  This was effected by the use of words, or synonyms of words, from the lemma. Still, he saw the relationship of the </w:t>
      </w:r>
      <w:r>
        <w:rPr>
          <w:i/>
          <w:sz w:val="22"/>
        </w:rPr>
        <w:t>pesher</w:t>
      </w:r>
      <w:r>
        <w:rPr>
          <w:sz w:val="22"/>
        </w:rPr>
        <w:t xml:space="preserve"> to the lemma as primarily that of “atomization.”  That is, the particulars of the biblical text are used by the </w:t>
      </w:r>
      <w:r>
        <w:rPr>
          <w:i/>
          <w:sz w:val="22"/>
        </w:rPr>
        <w:t>pesher</w:t>
      </w:r>
      <w:r>
        <w:rPr>
          <w:sz w:val="22"/>
        </w:rPr>
        <w:t>, but the overall context is not significant (139-42).</w:t>
      </w:r>
    </w:p>
  </w:footnote>
  <w:footnote w:id="76">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Nitzan’s stated goal was to fill in gaps left by previous scholars who had attended to techniques in the formation of specific </w:t>
      </w:r>
      <w:r>
        <w:rPr>
          <w:i/>
          <w:sz w:val="22"/>
        </w:rPr>
        <w:t>pesher</w:t>
      </w:r>
      <w:r>
        <w:rPr>
          <w:sz w:val="22"/>
        </w:rPr>
        <w:t xml:space="preserve"> interpretations in 1QpHab, rather than to the </w:t>
      </w:r>
      <w:r>
        <w:rPr>
          <w:i/>
          <w:sz w:val="22"/>
        </w:rPr>
        <w:t>pesher</w:t>
      </w:r>
      <w:r>
        <w:rPr>
          <w:sz w:val="22"/>
        </w:rPr>
        <w:t xml:space="preserve"> composition as a whole (39).</w:t>
      </w:r>
    </w:p>
  </w:footnote>
  <w:footnote w:id="77">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In fact, it is this disjointed nature of </w:t>
      </w:r>
      <w:r>
        <w:rPr>
          <w:i/>
          <w:sz w:val="22"/>
        </w:rPr>
        <w:t>pesher</w:t>
      </w:r>
      <w:r>
        <w:rPr>
          <w:sz w:val="22"/>
        </w:rPr>
        <w:t xml:space="preserve"> which distinguishes it from midrash in his opinion, and reflects the literary inferiority of the former to the latter (</w:t>
      </w:r>
      <w:r>
        <w:rPr>
          <w:i/>
          <w:sz w:val="22"/>
        </w:rPr>
        <w:t>Habakuk-Kommentar</w:t>
      </w:r>
      <w:r>
        <w:rPr>
          <w:sz w:val="22"/>
        </w:rPr>
        <w:t>, 163-64).</w:t>
      </w:r>
    </w:p>
  </w:footnote>
  <w:footnote w:id="78">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She further argues that the exegetical technique of “atomization” of the biblical text is only a last resort, and that an attempt is made to adhere to biblical structure (54).</w:t>
      </w:r>
    </w:p>
  </w:footnote>
  <w:footnote w:id="79">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See above.  L. H. Silberman’s treatment of 1QpHab stands out in earlier scholarship as having addressed the issue of motive as well as those of form, content, and method (“Unriddling,” 323-64; esp. 325, where he refers to “intentions”).</w:t>
      </w:r>
    </w:p>
  </w:footnote>
  <w:footnote w:id="80">
    <w:p w:rsidR="00C71FD3" w:rsidRDefault="00C71FD3" w:rsidP="00C71FD3">
      <w:pPr>
        <w:ind w:right="86"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Cp. Brooke’s initial, stylistic, distinction between “explicit” and “implicit” interpretation, noted in section 1 above.  The seeds of both Bernstein’s and Brooke’s criteria can be found in Vermes, “History of Interpretation,” 438-41.</w:t>
      </w:r>
    </w:p>
  </w:footnote>
  <w:footnote w:id="81">
    <w:p w:rsidR="00C71FD3" w:rsidRDefault="00C71FD3" w:rsidP="00C71FD3">
      <w:pPr>
        <w:ind w:right="86"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“Thematic Content,” 33-59.  Bernstein argues against the supposition of a unifying theme.  In his opinion, the “content” of 4Q252 consists of resolutions to exegetical problems in Genesis, and the “structure” is a sequential stringing of these exegeses.  Bernstein insists that “the overt must take precedence over the implicit” (“4Q252: Method,” 71).  See also, I. Fröhlich, “Themes, Structure, and Genre of Pesher Genesis: A Response to George Brooke,” </w:t>
      </w:r>
      <w:r>
        <w:rPr>
          <w:rFonts w:ascii="Times New Roman" w:hAnsi="Times New Roman"/>
          <w:i/>
          <w:sz w:val="22"/>
        </w:rPr>
        <w:t>JQR</w:t>
      </w:r>
      <w:r>
        <w:rPr>
          <w:rFonts w:ascii="Times New Roman" w:hAnsi="Times New Roman"/>
          <w:sz w:val="22"/>
        </w:rPr>
        <w:t xml:space="preserve"> 85 (1994) 83-90.  It is now generally agreed that 4Q252 is a sort of “commentary” comprised of sections of biblical interpretation in various genres, including one in the </w:t>
      </w:r>
      <w:r>
        <w:rPr>
          <w:rFonts w:ascii="Times New Roman" w:hAnsi="Times New Roman"/>
          <w:i/>
          <w:sz w:val="22"/>
        </w:rPr>
        <w:t>pesher</w:t>
      </w:r>
      <w:r>
        <w:rPr>
          <w:rFonts w:ascii="Times New Roman" w:hAnsi="Times New Roman"/>
          <w:sz w:val="22"/>
        </w:rPr>
        <w:t xml:space="preserve"> genre (col. iv: 3-6, a comment on Jacob’s blessing of Reuben, which includes the formula </w:t>
      </w:r>
      <w:r>
        <w:rPr>
          <w:rFonts w:ascii="אילת" w:hAnsi="אילת" w:cs="אילת" w:hint="cs"/>
          <w:sz w:val="22"/>
          <w:szCs w:val="22"/>
          <w:rtl/>
        </w:rPr>
        <w:t>פשר</w:t>
      </w:r>
      <w:r>
        <w:rPr>
          <w:rFonts w:ascii="Times New Roman" w:hAnsi="Times New Roman"/>
          <w:sz w:val="22"/>
        </w:rPr>
        <w:t>.  Note also the “</w:t>
      </w:r>
      <w:r>
        <w:rPr>
          <w:rFonts w:ascii="Times New Roman" w:hAnsi="Times New Roman"/>
          <w:i/>
          <w:sz w:val="22"/>
        </w:rPr>
        <w:t>pesher</w:t>
      </w:r>
      <w:r>
        <w:rPr>
          <w:rFonts w:ascii="Times New Roman" w:hAnsi="Times New Roman"/>
          <w:sz w:val="22"/>
        </w:rPr>
        <w:t>-like” comment upon the blessing of Judah in col. v).</w:t>
      </w:r>
    </w:p>
  </w:footnote>
  <w:footnote w:id="82">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“Midrashic Exegesis,” 163-68.</w:t>
      </w:r>
    </w:p>
  </w:footnote>
  <w:footnote w:id="83">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“Unriddling,” 327-30.</w:t>
      </w:r>
    </w:p>
  </w:footnote>
  <w:footnote w:id="84">
    <w:p w:rsidR="00C71FD3" w:rsidRDefault="00C71FD3" w:rsidP="00C71FD3">
      <w:pPr>
        <w:ind w:right="86" w:firstLine="180"/>
        <w:rPr>
          <w:rFonts w:ascii="Times New Roman" w:hAnsi="Times New Roman" w:hint="cs"/>
          <w:sz w:val="22"/>
        </w:rPr>
      </w:pPr>
      <w:r>
        <w:rPr>
          <w:rStyle w:val="FootnoteReference"/>
          <w:rFonts w:ascii="Times New Roman" w:hAnsi="Times New Roman"/>
          <w:sz w:val="22"/>
        </w:rPr>
        <w:footnoteRef/>
      </w:r>
      <w:r>
        <w:rPr>
          <w:rFonts w:ascii="Times New Roman" w:hAnsi="Times New Roman"/>
          <w:sz w:val="22"/>
        </w:rPr>
        <w:t xml:space="preserve"> On the relationship between </w:t>
      </w:r>
      <w:r>
        <w:rPr>
          <w:rFonts w:ascii="אילת" w:hAnsi="אילת" w:cs="אילת" w:hint="cs"/>
          <w:sz w:val="22"/>
          <w:szCs w:val="22"/>
          <w:rtl/>
        </w:rPr>
        <w:t>פשר</w:t>
      </w:r>
      <w:r>
        <w:rPr>
          <w:rFonts w:ascii="Times New Roman" w:hAnsi="Times New Roman"/>
          <w:sz w:val="22"/>
        </w:rPr>
        <w:t>/</w:t>
      </w:r>
      <w:r>
        <w:rPr>
          <w:rFonts w:ascii="אילת" w:hAnsi="אילת" w:cs="אילת" w:hint="cs"/>
          <w:sz w:val="22"/>
          <w:szCs w:val="22"/>
          <w:rtl/>
        </w:rPr>
        <w:t>פתר</w:t>
      </w:r>
      <w:r>
        <w:rPr>
          <w:rFonts w:ascii="Times New Roman" w:hAnsi="Times New Roman"/>
          <w:sz w:val="22"/>
        </w:rPr>
        <w:t xml:space="preserve"> and </w:t>
      </w:r>
      <w:r>
        <w:rPr>
          <w:rFonts w:ascii="אילת" w:hAnsi="אילת" w:cs="אילת" w:hint="cs"/>
          <w:sz w:val="22"/>
          <w:szCs w:val="22"/>
          <w:rtl/>
        </w:rPr>
        <w:t>פרש</w:t>
      </w:r>
      <w:r>
        <w:rPr>
          <w:rFonts w:ascii="Times New Roman" w:hAnsi="Times New Roman"/>
          <w:sz w:val="22"/>
        </w:rPr>
        <w:t>, see too I. Heinemann,</w:t>
      </w:r>
    </w:p>
    <w:p w:rsidR="00C71FD3" w:rsidRDefault="00C71FD3" w:rsidP="00C71FD3">
      <w:pPr>
        <w:ind w:right="86" w:firstLine="180"/>
        <w:rPr>
          <w:rFonts w:ascii="Times New Roman" w:hAnsi="Times New Roman"/>
          <w:sz w:val="22"/>
        </w:rPr>
      </w:pPr>
      <w:r>
        <w:rPr>
          <w:rFonts w:ascii="Times New Roman" w:hAnsi="Times New Roman" w:hint="cs"/>
          <w:sz w:val="22"/>
        </w:rPr>
        <w:t xml:space="preserve"> </w:t>
      </w:r>
      <w:r>
        <w:rPr>
          <w:rFonts w:ascii="Times New Roman" w:hAnsi="Times New Roman"/>
          <w:sz w:val="22"/>
        </w:rPr>
        <w:t>“</w:t>
      </w:r>
      <w:r>
        <w:rPr>
          <w:rFonts w:ascii="אילת" w:hAnsi="אילת" w:cs="אילת" w:hint="cs"/>
          <w:sz w:val="22"/>
          <w:szCs w:val="22"/>
          <w:rtl/>
        </w:rPr>
        <w:t>להתפתחות</w:t>
      </w:r>
      <w:r>
        <w:rPr>
          <w:rFonts w:ascii="אילת" w:hAnsi="אילת" w:hint="cs"/>
          <w:sz w:val="22"/>
        </w:rPr>
        <w:t xml:space="preserve">  </w:t>
      </w:r>
      <w:r>
        <w:rPr>
          <w:rFonts w:ascii="אילת" w:hAnsi="אילת" w:cs="אילת" w:hint="cs"/>
          <w:sz w:val="22"/>
          <w:szCs w:val="22"/>
          <w:rtl/>
        </w:rPr>
        <w:t>המונחים</w:t>
      </w:r>
      <w:r>
        <w:rPr>
          <w:rFonts w:ascii="אילת" w:hAnsi="אילת" w:hint="cs"/>
          <w:sz w:val="22"/>
        </w:rPr>
        <w:t xml:space="preserve"> </w:t>
      </w:r>
      <w:r>
        <w:rPr>
          <w:rFonts w:ascii="אילת" w:hAnsi="אילת" w:cs="אילת" w:hint="cs"/>
          <w:sz w:val="22"/>
          <w:szCs w:val="22"/>
          <w:rtl/>
        </w:rPr>
        <w:t>המקצועיים</w:t>
      </w:r>
      <w:r>
        <w:rPr>
          <w:rFonts w:ascii="אילת" w:hAnsi="אילת" w:hint="cs"/>
          <w:sz w:val="22"/>
        </w:rPr>
        <w:t xml:space="preserve"> </w:t>
      </w:r>
      <w:r>
        <w:rPr>
          <w:rFonts w:ascii="אילת" w:hAnsi="אילת" w:cs="אילת" w:hint="cs"/>
          <w:sz w:val="22"/>
          <w:szCs w:val="22"/>
          <w:rtl/>
        </w:rPr>
        <w:t>לפירוש</w:t>
      </w:r>
      <w:r>
        <w:rPr>
          <w:rFonts w:ascii="אילת" w:hAnsi="אילת" w:hint="cs"/>
          <w:sz w:val="22"/>
        </w:rPr>
        <w:t xml:space="preserve"> </w:t>
      </w:r>
      <w:r>
        <w:rPr>
          <w:rFonts w:ascii="אילת" w:hAnsi="אילת" w:cs="אילת" w:hint="cs"/>
          <w:sz w:val="22"/>
          <w:szCs w:val="22"/>
          <w:rtl/>
        </w:rPr>
        <w:t>המקרא</w:t>
      </w:r>
      <w:r>
        <w:rPr>
          <w:rFonts w:ascii="Times New Roman" w:hAnsi="Times New Roman"/>
          <w:sz w:val="22"/>
        </w:rPr>
        <w:t xml:space="preserve">” in </w:t>
      </w:r>
      <w:r>
        <w:rPr>
          <w:rFonts w:ascii="אילת" w:hAnsi="אילת" w:cs="אילת" w:hint="cs"/>
          <w:sz w:val="22"/>
          <w:szCs w:val="22"/>
          <w:rtl/>
        </w:rPr>
        <w:t>לשוננו</w:t>
      </w:r>
      <w:r>
        <w:rPr>
          <w:rFonts w:ascii="Times New Roman" w:hAnsi="Times New Roman"/>
          <w:sz w:val="22"/>
        </w:rPr>
        <w:t xml:space="preserve"> 16 (1948), 22 and Schiffman, </w:t>
      </w:r>
      <w:r>
        <w:rPr>
          <w:rFonts w:ascii="Times New Roman" w:hAnsi="Times New Roman"/>
          <w:i/>
          <w:sz w:val="22"/>
        </w:rPr>
        <w:t>The Halakha at Qumran</w:t>
      </w:r>
      <w:r>
        <w:rPr>
          <w:rFonts w:ascii="Times New Roman" w:hAnsi="Times New Roman"/>
          <w:sz w:val="22"/>
        </w:rPr>
        <w:t xml:space="preserve"> (Leiden: Brill, 1975), 32-41, esp. 41.  Schiffman summarizes Qumran usage as follows, “</w:t>
      </w:r>
      <w:r>
        <w:rPr>
          <w:rFonts w:ascii="Times New Roman" w:hAnsi="Times New Roman"/>
          <w:i/>
          <w:sz w:val="22"/>
        </w:rPr>
        <w:t>Pesher</w:t>
      </w:r>
      <w:r>
        <w:rPr>
          <w:rFonts w:ascii="Times New Roman" w:hAnsi="Times New Roman"/>
          <w:sz w:val="22"/>
        </w:rPr>
        <w:t xml:space="preserve"> is a term used to denote ‘aggadic’ interpretation while </w:t>
      </w:r>
      <w:r>
        <w:rPr>
          <w:rFonts w:ascii="Times New Roman" w:hAnsi="Times New Roman"/>
          <w:i/>
          <w:sz w:val="22"/>
        </w:rPr>
        <w:t>perush</w:t>
      </w:r>
      <w:r>
        <w:rPr>
          <w:rFonts w:ascii="Times New Roman" w:hAnsi="Times New Roman"/>
          <w:sz w:val="22"/>
        </w:rPr>
        <w:t xml:space="preserve"> denotes interpretation for the purpose of discovering the details of the </w:t>
      </w:r>
      <w:r>
        <w:rPr>
          <w:rFonts w:ascii="Times New Roman" w:hAnsi="Times New Roman"/>
          <w:i/>
          <w:sz w:val="22"/>
        </w:rPr>
        <w:t>halakha</w:t>
      </w:r>
      <w:r>
        <w:rPr>
          <w:rFonts w:ascii="Times New Roman" w:hAnsi="Times New Roman"/>
          <w:sz w:val="22"/>
        </w:rPr>
        <w:t xml:space="preserve">.”  Cp. Mandel, “Midrashic Exegesis,” 159, n. 22.  He views the </w:t>
      </w:r>
      <w:r>
        <w:rPr>
          <w:rFonts w:ascii="Times New Roman" w:hAnsi="Times New Roman"/>
          <w:i/>
          <w:sz w:val="22"/>
        </w:rPr>
        <w:t>tannaitic</w:t>
      </w:r>
      <w:r>
        <w:rPr>
          <w:rFonts w:ascii="Times New Roman" w:hAnsi="Times New Roman"/>
          <w:sz w:val="22"/>
        </w:rPr>
        <w:t xml:space="preserve"> terminology as a rejection of sectarian revelation, and cites further, rabbinic opposition to those who attempted to reveal aspects of the Torah (</w:t>
      </w:r>
      <w:r>
        <w:rPr>
          <w:rFonts w:ascii="אילת" w:hAnsi="אילת" w:cs="אילת" w:hint="cs"/>
          <w:sz w:val="22"/>
          <w:szCs w:val="22"/>
          <w:rtl/>
        </w:rPr>
        <w:t>מגלה</w:t>
      </w:r>
      <w:r>
        <w:rPr>
          <w:rFonts w:ascii="אילת" w:hAnsi="אילת" w:hint="cs"/>
          <w:sz w:val="22"/>
        </w:rPr>
        <w:t xml:space="preserve"> </w:t>
      </w:r>
      <w:r>
        <w:rPr>
          <w:rFonts w:ascii="אילת" w:hAnsi="אילת" w:cs="אילת" w:hint="cs"/>
          <w:sz w:val="22"/>
          <w:szCs w:val="22"/>
          <w:rtl/>
        </w:rPr>
        <w:t>פנים</w:t>
      </w:r>
      <w:r>
        <w:rPr>
          <w:rFonts w:ascii="אילת" w:hAnsi="אילת" w:hint="cs"/>
          <w:sz w:val="22"/>
        </w:rPr>
        <w:t xml:space="preserve"> </w:t>
      </w:r>
      <w:r>
        <w:rPr>
          <w:rFonts w:ascii="אילת" w:hAnsi="אילת" w:cs="אילת" w:hint="cs"/>
          <w:sz w:val="22"/>
          <w:szCs w:val="22"/>
          <w:rtl/>
        </w:rPr>
        <w:t>בתורה</w:t>
      </w:r>
      <w:r>
        <w:rPr>
          <w:rFonts w:ascii="Times New Roman" w:hAnsi="Times New Roman"/>
          <w:sz w:val="22"/>
        </w:rPr>
        <w:t xml:space="preserve">.  Cf. p. 166, and the literature cited). </w:t>
      </w:r>
    </w:p>
  </w:footnote>
  <w:footnote w:id="85">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On the expanded frame of reference of the </w:t>
      </w:r>
      <w:r>
        <w:rPr>
          <w:i/>
          <w:sz w:val="22"/>
        </w:rPr>
        <w:t>petira</w:t>
      </w:r>
      <w:r>
        <w:rPr>
          <w:sz w:val="22"/>
        </w:rPr>
        <w:t xml:space="preserve">, including applications to the future, see Mandel, </w:t>
      </w:r>
      <w:r>
        <w:rPr>
          <w:i/>
          <w:sz w:val="22"/>
        </w:rPr>
        <w:t>op. cit.</w:t>
      </w:r>
      <w:r>
        <w:rPr>
          <w:sz w:val="22"/>
        </w:rPr>
        <w:t>, 161, n. 29, and Silberman, “Unriddling.”</w:t>
      </w:r>
    </w:p>
  </w:footnote>
  <w:footnote w:id="86">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On multivalence and the </w:t>
      </w:r>
      <w:r>
        <w:rPr>
          <w:i/>
          <w:sz w:val="22"/>
        </w:rPr>
        <w:t>petira</w:t>
      </w:r>
      <w:r>
        <w:rPr>
          <w:sz w:val="22"/>
        </w:rPr>
        <w:t>, see Heinemann, “</w:t>
      </w:r>
      <w:r>
        <w:rPr>
          <w:rFonts w:ascii="אילת" w:hAnsi="אילת" w:cs="אילת" w:hint="cs"/>
          <w:sz w:val="22"/>
          <w:szCs w:val="22"/>
          <w:rtl/>
        </w:rPr>
        <w:t>להתפתחות</w:t>
      </w:r>
      <w:r>
        <w:rPr>
          <w:sz w:val="22"/>
        </w:rPr>
        <w:t xml:space="preserve">,” 21  (Silberman also cites Heinemann’s “Altjüdische Allegoristik,” </w:t>
      </w:r>
      <w:r>
        <w:rPr>
          <w:i/>
          <w:sz w:val="22"/>
        </w:rPr>
        <w:t>Bericht des Jüdisch-Theologischen Seminars</w:t>
      </w:r>
      <w:r>
        <w:rPr>
          <w:sz w:val="22"/>
        </w:rPr>
        <w:t xml:space="preserve"> [Breslau, 1935], 19-21, 45).</w:t>
      </w:r>
    </w:p>
  </w:footnote>
  <w:footnote w:id="87">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This description derives from Mandel’s unpublished study on the </w:t>
      </w:r>
      <w:r>
        <w:rPr>
          <w:rFonts w:ascii="אילת" w:hAnsi="אילת" w:cs="אילת" w:hint="cs"/>
          <w:sz w:val="22"/>
          <w:szCs w:val="22"/>
          <w:rtl/>
        </w:rPr>
        <w:t>עליו מפרש</w:t>
      </w:r>
      <w:r>
        <w:rPr>
          <w:sz w:val="22"/>
        </w:rPr>
        <w:t>.</w:t>
      </w:r>
    </w:p>
  </w:footnote>
  <w:footnote w:id="88">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Finkel comments upon the “allegorical” nature of both </w:t>
      </w:r>
      <w:r>
        <w:rPr>
          <w:i/>
          <w:sz w:val="22"/>
        </w:rPr>
        <w:t>pesher</w:t>
      </w:r>
      <w:r>
        <w:rPr>
          <w:sz w:val="22"/>
        </w:rPr>
        <w:t xml:space="preserve"> and the </w:t>
      </w:r>
      <w:r>
        <w:rPr>
          <w:i/>
          <w:sz w:val="22"/>
        </w:rPr>
        <w:t>petira</w:t>
      </w:r>
      <w:r>
        <w:rPr>
          <w:sz w:val="22"/>
        </w:rPr>
        <w:t xml:space="preserve"> in “The Pesher of Dreams,” 364-70.</w:t>
      </w:r>
    </w:p>
  </w:footnote>
  <w:footnote w:id="89">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Cf. Schiffman, </w:t>
      </w:r>
      <w:r>
        <w:rPr>
          <w:i/>
          <w:sz w:val="22"/>
        </w:rPr>
        <w:t>The Halakha at Qumran</w:t>
      </w:r>
      <w:r>
        <w:rPr>
          <w:sz w:val="22"/>
        </w:rPr>
        <w:t xml:space="preserve">, 22-32; </w:t>
      </w:r>
      <w:r>
        <w:rPr>
          <w:i/>
          <w:sz w:val="22"/>
        </w:rPr>
        <w:t xml:space="preserve">Reclaiming </w:t>
      </w:r>
      <w:r>
        <w:rPr>
          <w:sz w:val="22"/>
        </w:rPr>
        <w:t xml:space="preserve">247-49.  Schiffman contrasts the rabbinic concept of “dual Torah” which involves the transmission of revealed oral traditions, with Qumran </w:t>
      </w:r>
      <w:r>
        <w:rPr>
          <w:i/>
          <w:sz w:val="22"/>
        </w:rPr>
        <w:t xml:space="preserve">perush, </w:t>
      </w:r>
      <w:r>
        <w:rPr>
          <w:sz w:val="22"/>
        </w:rPr>
        <w:t>which pesupposed progressive revelation through textual interpretation (</w:t>
      </w:r>
      <w:r>
        <w:rPr>
          <w:i/>
          <w:sz w:val="22"/>
        </w:rPr>
        <w:t>The Halakha at Qumran</w:t>
      </w:r>
      <w:r>
        <w:rPr>
          <w:sz w:val="22"/>
        </w:rPr>
        <w:t>, 32, 41, 56, 76, and sources cited).  The Community perceived that “revealed things” were accessible to all Jews, while the “hidden things” were hidden from the larger population, but were revealed exclusively to the Community.</w:t>
      </w:r>
    </w:p>
  </w:footnote>
  <w:footnote w:id="90">
    <w:p w:rsidR="00C71FD3" w:rsidRDefault="00C71FD3" w:rsidP="00C71FD3">
      <w:pPr>
        <w:ind w:firstLine="180"/>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See, however, the cautious remarks of  S. T. Fraade, “Interpretive Authority in the Studying Community at Qumran,”</w:t>
      </w:r>
      <w:r>
        <w:rPr>
          <w:rFonts w:ascii="Times New Roman" w:hAnsi="Times New Roman"/>
          <w:i/>
          <w:sz w:val="22"/>
        </w:rPr>
        <w:t xml:space="preserve"> JJS</w:t>
      </w:r>
      <w:r>
        <w:rPr>
          <w:rFonts w:ascii="Times New Roman" w:hAnsi="Times New Roman"/>
          <w:sz w:val="22"/>
        </w:rPr>
        <w:t xml:space="preserve"> 44 (1993) 50-51. </w:t>
      </w:r>
    </w:p>
  </w:footnote>
  <w:footnote w:id="91">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This supposition of an appreciation of the base-text and its original context has significant ramifications for the analysis of the Qumran </w:t>
      </w:r>
      <w:r>
        <w:rPr>
          <w:i/>
          <w:sz w:val="22"/>
        </w:rPr>
        <w:t>pesharim</w:t>
      </w:r>
      <w:r>
        <w:rPr>
          <w:sz w:val="22"/>
        </w:rPr>
        <w:t xml:space="preserve">, and is essential to the approach to </w:t>
      </w:r>
      <w:r>
        <w:rPr>
          <w:i/>
          <w:sz w:val="22"/>
        </w:rPr>
        <w:t>pesher</w:t>
      </w:r>
      <w:r>
        <w:rPr>
          <w:sz w:val="22"/>
        </w:rPr>
        <w:t xml:space="preserve"> that I have put forth in “Lemma/</w:t>
      </w:r>
      <w:r>
        <w:rPr>
          <w:i/>
          <w:sz w:val="22"/>
        </w:rPr>
        <w:t xml:space="preserve">Pesher </w:t>
      </w:r>
      <w:r>
        <w:rPr>
          <w:sz w:val="22"/>
        </w:rPr>
        <w:t xml:space="preserve">Correspondence,” and followed throughout my dissertation. </w:t>
      </w:r>
    </w:p>
  </w:footnote>
  <w:footnote w:id="92">
    <w:p w:rsidR="00C71FD3" w:rsidRDefault="00C71FD3" w:rsidP="00C71FD3">
      <w:pPr>
        <w:pStyle w:val="FootnoteText"/>
        <w:spacing w:line="240" w:lineRule="auto"/>
        <w:ind w:firstLine="180"/>
        <w:jc w:val="left"/>
        <w:rPr>
          <w:sz w:val="22"/>
        </w:rPr>
      </w:pPr>
      <w:r>
        <w:rPr>
          <w:rStyle w:val="FootnoteReference"/>
          <w:sz w:val="22"/>
        </w:rPr>
        <w:footnoteRef/>
      </w:r>
      <w:r>
        <w:rPr>
          <w:sz w:val="22"/>
        </w:rPr>
        <w:t xml:space="preserve"> The term </w:t>
      </w:r>
      <w:r>
        <w:rPr>
          <w:rFonts w:ascii="אילת" w:hAnsi="אילת" w:cs="אילת" w:hint="cs"/>
          <w:sz w:val="22"/>
          <w:szCs w:val="22"/>
          <w:rtl/>
        </w:rPr>
        <w:t>רז</w:t>
      </w:r>
      <w:r>
        <w:rPr>
          <w:sz w:val="22"/>
        </w:rPr>
        <w:t xml:space="preserve"> has been employed for this sense of “hidden mysteries;” cf. 1QpHab 7: 5, 8, 14.  This eschatologically significant term is frequent in Daniel and apocalyptic literature (cf., </w:t>
      </w:r>
      <w:r>
        <w:rPr>
          <w:i/>
          <w:sz w:val="22"/>
        </w:rPr>
        <w:t>inter alia</w:t>
      </w:r>
      <w:r>
        <w:rPr>
          <w:sz w:val="22"/>
        </w:rPr>
        <w:t xml:space="preserve">, Horgan, </w:t>
      </w:r>
      <w:r>
        <w:rPr>
          <w:i/>
          <w:sz w:val="22"/>
        </w:rPr>
        <w:t>Pesharim</w:t>
      </w:r>
      <w:r>
        <w:rPr>
          <w:sz w:val="22"/>
        </w:rPr>
        <w:t xml:space="preserve">, 237; Bruce, </w:t>
      </w:r>
      <w:r>
        <w:rPr>
          <w:i/>
          <w:sz w:val="22"/>
        </w:rPr>
        <w:t>Biblical Ex</w:t>
      </w:r>
      <w:bookmarkStart w:id="0" w:name="_GoBack"/>
      <w:bookmarkEnd w:id="0"/>
      <w:r>
        <w:rPr>
          <w:i/>
          <w:sz w:val="22"/>
        </w:rPr>
        <w:t>egesis</w:t>
      </w:r>
      <w:r>
        <w:rPr>
          <w:sz w:val="22"/>
        </w:rPr>
        <w:t>, 7-11).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FD3"/>
    <w:rsid w:val="000C1BDF"/>
    <w:rsid w:val="002B01A3"/>
    <w:rsid w:val="00387675"/>
    <w:rsid w:val="0043092E"/>
    <w:rsid w:val="0066182A"/>
    <w:rsid w:val="006E482C"/>
    <w:rsid w:val="007D48B8"/>
    <w:rsid w:val="00877A8D"/>
    <w:rsid w:val="00A34149"/>
    <w:rsid w:val="00B546B8"/>
    <w:rsid w:val="00C71FD3"/>
    <w:rsid w:val="00DA0CDF"/>
    <w:rsid w:val="00DB7DD1"/>
    <w:rsid w:val="00DE0FD9"/>
    <w:rsid w:val="00DE1B2A"/>
    <w:rsid w:val="00ED3DEF"/>
    <w:rsid w:val="00EF327D"/>
    <w:rsid w:val="00EF787F"/>
    <w:rsid w:val="00F502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FD3"/>
    <w:pPr>
      <w:spacing w:after="0" w:line="240" w:lineRule="auto"/>
    </w:pPr>
    <w:rPr>
      <w:rFonts w:ascii="Times" w:eastAsia="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71FD3"/>
    <w:pPr>
      <w:spacing w:line="480" w:lineRule="auto"/>
      <w:jc w:val="both"/>
    </w:pPr>
    <w:rPr>
      <w:rFonts w:ascii="Times New Roman" w:eastAsia="Times New Roman" w:hAnsi="Times New Roman" w:cs="Times New Roman"/>
      <w:noProof/>
    </w:rPr>
  </w:style>
  <w:style w:type="character" w:customStyle="1" w:styleId="BodyTextChar">
    <w:name w:val="Body Text Char"/>
    <w:basedOn w:val="DefaultParagraphFont"/>
    <w:link w:val="BodyText"/>
    <w:semiHidden/>
    <w:rsid w:val="00C71FD3"/>
    <w:rPr>
      <w:rFonts w:ascii="Times New Roman" w:eastAsia="Times New Roman" w:hAnsi="Times New Roman" w:cs="Times New Roman"/>
      <w:noProof/>
      <w:sz w:val="24"/>
      <w:szCs w:val="24"/>
    </w:rPr>
  </w:style>
  <w:style w:type="paragraph" w:styleId="FootnoteText">
    <w:name w:val="footnote text"/>
    <w:basedOn w:val="Normal"/>
    <w:link w:val="FootnoteTextChar"/>
    <w:semiHidden/>
    <w:rsid w:val="00C71FD3"/>
    <w:pPr>
      <w:spacing w:line="360" w:lineRule="auto"/>
      <w:ind w:firstLine="144"/>
      <w:jc w:val="both"/>
    </w:pPr>
    <w:rPr>
      <w:rFonts w:ascii="Times New Roman" w:eastAsia="Times New Roman" w:hAnsi="Times New Roman" w:cs="Times New Roman"/>
      <w:noProof/>
      <w:sz w:val="20"/>
      <w:szCs w:val="20"/>
    </w:rPr>
  </w:style>
  <w:style w:type="character" w:customStyle="1" w:styleId="FootnoteTextChar">
    <w:name w:val="Footnote Text Char"/>
    <w:basedOn w:val="DefaultParagraphFont"/>
    <w:link w:val="FootnoteText"/>
    <w:semiHidden/>
    <w:rsid w:val="00C71FD3"/>
    <w:rPr>
      <w:rFonts w:ascii="Times New Roman" w:eastAsia="Times New Roman" w:hAnsi="Times New Roman" w:cs="Times New Roman"/>
      <w:noProof/>
      <w:sz w:val="20"/>
      <w:szCs w:val="20"/>
    </w:rPr>
  </w:style>
  <w:style w:type="character" w:styleId="FootnoteReference">
    <w:name w:val="footnote reference"/>
    <w:basedOn w:val="DefaultParagraphFont"/>
    <w:semiHidden/>
    <w:rsid w:val="00C71FD3"/>
    <w:rPr>
      <w:vertAlign w:val="superscript"/>
    </w:rPr>
  </w:style>
  <w:style w:type="paragraph" w:styleId="ListContinue">
    <w:name w:val="List Continue"/>
    <w:basedOn w:val="Normal"/>
    <w:semiHidden/>
    <w:rsid w:val="00C71FD3"/>
    <w:pPr>
      <w:widowControl w:val="0"/>
      <w:autoSpaceDE w:val="0"/>
      <w:autoSpaceDN w:val="0"/>
      <w:adjustRightInd w:val="0"/>
      <w:spacing w:after="120"/>
      <w:ind w:left="360"/>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FD3"/>
    <w:pPr>
      <w:spacing w:after="0" w:line="240" w:lineRule="auto"/>
    </w:pPr>
    <w:rPr>
      <w:rFonts w:ascii="Times" w:eastAsia="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71FD3"/>
    <w:pPr>
      <w:spacing w:line="480" w:lineRule="auto"/>
      <w:jc w:val="both"/>
    </w:pPr>
    <w:rPr>
      <w:rFonts w:ascii="Times New Roman" w:eastAsia="Times New Roman" w:hAnsi="Times New Roman" w:cs="Times New Roman"/>
      <w:noProof/>
    </w:rPr>
  </w:style>
  <w:style w:type="character" w:customStyle="1" w:styleId="BodyTextChar">
    <w:name w:val="Body Text Char"/>
    <w:basedOn w:val="DefaultParagraphFont"/>
    <w:link w:val="BodyText"/>
    <w:semiHidden/>
    <w:rsid w:val="00C71FD3"/>
    <w:rPr>
      <w:rFonts w:ascii="Times New Roman" w:eastAsia="Times New Roman" w:hAnsi="Times New Roman" w:cs="Times New Roman"/>
      <w:noProof/>
      <w:sz w:val="24"/>
      <w:szCs w:val="24"/>
    </w:rPr>
  </w:style>
  <w:style w:type="paragraph" w:styleId="FootnoteText">
    <w:name w:val="footnote text"/>
    <w:basedOn w:val="Normal"/>
    <w:link w:val="FootnoteTextChar"/>
    <w:semiHidden/>
    <w:rsid w:val="00C71FD3"/>
    <w:pPr>
      <w:spacing w:line="360" w:lineRule="auto"/>
      <w:ind w:firstLine="144"/>
      <w:jc w:val="both"/>
    </w:pPr>
    <w:rPr>
      <w:rFonts w:ascii="Times New Roman" w:eastAsia="Times New Roman" w:hAnsi="Times New Roman" w:cs="Times New Roman"/>
      <w:noProof/>
      <w:sz w:val="20"/>
      <w:szCs w:val="20"/>
    </w:rPr>
  </w:style>
  <w:style w:type="character" w:customStyle="1" w:styleId="FootnoteTextChar">
    <w:name w:val="Footnote Text Char"/>
    <w:basedOn w:val="DefaultParagraphFont"/>
    <w:link w:val="FootnoteText"/>
    <w:semiHidden/>
    <w:rsid w:val="00C71FD3"/>
    <w:rPr>
      <w:rFonts w:ascii="Times New Roman" w:eastAsia="Times New Roman" w:hAnsi="Times New Roman" w:cs="Times New Roman"/>
      <w:noProof/>
      <w:sz w:val="20"/>
      <w:szCs w:val="20"/>
    </w:rPr>
  </w:style>
  <w:style w:type="character" w:styleId="FootnoteReference">
    <w:name w:val="footnote reference"/>
    <w:basedOn w:val="DefaultParagraphFont"/>
    <w:semiHidden/>
    <w:rsid w:val="00C71FD3"/>
    <w:rPr>
      <w:vertAlign w:val="superscript"/>
    </w:rPr>
  </w:style>
  <w:style w:type="paragraph" w:styleId="ListContinue">
    <w:name w:val="List Continue"/>
    <w:basedOn w:val="Normal"/>
    <w:semiHidden/>
    <w:rsid w:val="00C71FD3"/>
    <w:pPr>
      <w:widowControl w:val="0"/>
      <w:autoSpaceDE w:val="0"/>
      <w:autoSpaceDN w:val="0"/>
      <w:adjustRightInd w:val="0"/>
      <w:spacing w:after="120"/>
      <w:ind w:left="36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3460</Words>
  <Characters>19723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shani</dc:creator>
  <cp:lastModifiedBy>shani</cp:lastModifiedBy>
  <cp:revision>1</cp:revision>
  <dcterms:created xsi:type="dcterms:W3CDTF">2011-04-04T04:11:00Z</dcterms:created>
  <dcterms:modified xsi:type="dcterms:W3CDTF">2011-04-04T04:12:00Z</dcterms:modified>
</cp:coreProperties>
</file>