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C3F3" w14:textId="4EC880C0" w:rsidR="0015012B" w:rsidRPr="0015012B" w:rsidRDefault="0015012B" w:rsidP="0015012B">
      <w:pPr>
        <w:jc w:val="center"/>
        <w:rPr>
          <w:rFonts w:ascii="Garamond" w:hAnsi="Garamond"/>
        </w:rPr>
      </w:pPr>
      <w:r w:rsidRPr="0015012B">
        <w:rPr>
          <w:rFonts w:ascii="Garamond" w:hAnsi="Garamond"/>
        </w:rPr>
        <w:t>C</w:t>
      </w:r>
      <w:r w:rsidR="00D413CD">
        <w:rPr>
          <w:rFonts w:ascii="Garamond" w:hAnsi="Garamond"/>
        </w:rPr>
        <w:t xml:space="preserve">ommunication Studies </w:t>
      </w:r>
      <w:r w:rsidRPr="0015012B">
        <w:rPr>
          <w:rFonts w:ascii="Garamond" w:hAnsi="Garamond"/>
        </w:rPr>
        <w:t>404</w:t>
      </w:r>
      <w:r w:rsidR="00D413CD">
        <w:rPr>
          <w:rFonts w:ascii="Garamond" w:hAnsi="Garamond"/>
        </w:rPr>
        <w:t xml:space="preserve">: Principles of </w:t>
      </w:r>
      <w:r w:rsidRPr="0015012B">
        <w:rPr>
          <w:rFonts w:ascii="Garamond" w:hAnsi="Garamond"/>
        </w:rPr>
        <w:t>Persuasion</w:t>
      </w:r>
    </w:p>
    <w:p w14:paraId="6DA584E9" w14:textId="02579965" w:rsidR="0015012B" w:rsidRPr="0015012B" w:rsidRDefault="0015012B" w:rsidP="0015012B">
      <w:pPr>
        <w:jc w:val="center"/>
        <w:rPr>
          <w:rFonts w:ascii="Garamond" w:hAnsi="Garamond"/>
        </w:rPr>
      </w:pPr>
      <w:r w:rsidRPr="0015012B">
        <w:rPr>
          <w:rFonts w:ascii="Garamond" w:hAnsi="Garamond"/>
        </w:rPr>
        <w:t>University of Nevada, Reno</w:t>
      </w:r>
    </w:p>
    <w:p w14:paraId="07A4489E" w14:textId="6EB364EA" w:rsidR="0015012B" w:rsidRDefault="0015012B" w:rsidP="0015012B">
      <w:pPr>
        <w:jc w:val="center"/>
        <w:rPr>
          <w:rFonts w:ascii="Garamond" w:hAnsi="Garamond"/>
        </w:rPr>
      </w:pPr>
      <w:r w:rsidRPr="0015012B">
        <w:rPr>
          <w:rFonts w:ascii="Garamond" w:hAnsi="Garamond"/>
        </w:rPr>
        <w:t>Fall 2021 Semester</w:t>
      </w:r>
    </w:p>
    <w:p w14:paraId="73335DF0" w14:textId="6CAA617B" w:rsidR="00D413CD" w:rsidRPr="0015012B" w:rsidRDefault="00D413CD" w:rsidP="0015012B">
      <w:pPr>
        <w:jc w:val="center"/>
        <w:rPr>
          <w:rFonts w:ascii="Garamond" w:hAnsi="Garamond"/>
        </w:rPr>
      </w:pPr>
      <w:r>
        <w:rPr>
          <w:rFonts w:ascii="Garamond" w:hAnsi="Garamond"/>
        </w:rPr>
        <w:t>Tuesdays, 4:30PM-7:15PM</w:t>
      </w:r>
    </w:p>
    <w:p w14:paraId="5E11D352" w14:textId="77777777" w:rsidR="0015012B" w:rsidRPr="0015012B" w:rsidRDefault="0015012B" w:rsidP="0015012B">
      <w:pPr>
        <w:rPr>
          <w:rFonts w:ascii="Garamond" w:hAnsi="Garamond"/>
        </w:rPr>
      </w:pPr>
    </w:p>
    <w:p w14:paraId="7BBCCC18" w14:textId="5F6A9D59" w:rsidR="0015012B" w:rsidRDefault="0015012B" w:rsidP="0015012B">
      <w:pPr>
        <w:rPr>
          <w:rFonts w:ascii="Garamond" w:hAnsi="Garamond"/>
        </w:rPr>
      </w:pPr>
      <w:r w:rsidRPr="0015012B">
        <w:rPr>
          <w:rFonts w:ascii="Garamond" w:hAnsi="Garamond"/>
        </w:rPr>
        <w:t xml:space="preserve">Instructor: </w:t>
      </w:r>
      <w:r w:rsidRPr="0015012B">
        <w:rPr>
          <w:rFonts w:ascii="Garamond" w:hAnsi="Garamond"/>
        </w:rPr>
        <w:tab/>
      </w:r>
      <w:r w:rsidRPr="0015012B">
        <w:rPr>
          <w:rFonts w:ascii="Garamond" w:hAnsi="Garamond"/>
        </w:rPr>
        <w:tab/>
        <w:t>Dr. Ben Krueger</w:t>
      </w:r>
    </w:p>
    <w:p w14:paraId="18234E4E" w14:textId="2C078174" w:rsidR="00D413CD" w:rsidRPr="0015012B" w:rsidRDefault="00D413CD" w:rsidP="0015012B">
      <w:pPr>
        <w:rPr>
          <w:rFonts w:ascii="Garamond" w:hAnsi="Garamond"/>
        </w:rPr>
      </w:pPr>
      <w:r>
        <w:rPr>
          <w:rFonts w:ascii="Garamond" w:hAnsi="Garamond"/>
        </w:rPr>
        <w:t>Office Hours:</w:t>
      </w:r>
      <w:r>
        <w:rPr>
          <w:rFonts w:ascii="Garamond" w:hAnsi="Garamond"/>
        </w:rPr>
        <w:tab/>
      </w:r>
      <w:r>
        <w:rPr>
          <w:rFonts w:ascii="Garamond" w:hAnsi="Garamond"/>
        </w:rPr>
        <w:tab/>
        <w:t>Monday/Wednesday 4:00PM-5:00PM</w:t>
      </w:r>
      <w:r w:rsidR="00932786">
        <w:rPr>
          <w:rFonts w:ascii="Garamond" w:hAnsi="Garamond"/>
        </w:rPr>
        <w:t xml:space="preserve"> on Zoom and by appointment</w:t>
      </w:r>
    </w:p>
    <w:p w14:paraId="52DE307A" w14:textId="294B7AAE" w:rsidR="0015012B" w:rsidRPr="0015012B" w:rsidRDefault="0015012B" w:rsidP="0015012B">
      <w:pPr>
        <w:rPr>
          <w:rFonts w:ascii="Garamond" w:hAnsi="Garamond"/>
        </w:rPr>
      </w:pPr>
      <w:r w:rsidRPr="0015012B">
        <w:rPr>
          <w:rFonts w:ascii="Garamond" w:hAnsi="Garamond"/>
        </w:rPr>
        <w:t>Email:</w:t>
      </w:r>
      <w:r w:rsidRPr="0015012B">
        <w:rPr>
          <w:rFonts w:ascii="Garamond" w:hAnsi="Garamond"/>
        </w:rPr>
        <w:tab/>
      </w:r>
      <w:r w:rsidRPr="0015012B">
        <w:rPr>
          <w:rFonts w:ascii="Garamond" w:hAnsi="Garamond"/>
        </w:rPr>
        <w:tab/>
      </w:r>
      <w:r w:rsidRPr="0015012B">
        <w:rPr>
          <w:rFonts w:ascii="Garamond" w:hAnsi="Garamond"/>
        </w:rPr>
        <w:tab/>
      </w:r>
      <w:hyperlink r:id="rId6" w:history="1">
        <w:r w:rsidRPr="0015012B">
          <w:rPr>
            <w:rStyle w:val="Hyperlink"/>
            <w:rFonts w:ascii="Garamond" w:hAnsi="Garamond"/>
          </w:rPr>
          <w:t>Benjaminkrueger@unr.edu</w:t>
        </w:r>
      </w:hyperlink>
    </w:p>
    <w:p w14:paraId="21339BE0" w14:textId="3CE3A691" w:rsidR="0015012B" w:rsidRDefault="0015012B" w:rsidP="0015012B">
      <w:pPr>
        <w:rPr>
          <w:rFonts w:ascii="Garamond" w:hAnsi="Garamond"/>
        </w:rPr>
      </w:pPr>
      <w:r w:rsidRPr="0015012B">
        <w:rPr>
          <w:rFonts w:ascii="Garamond" w:hAnsi="Garamond"/>
        </w:rPr>
        <w:t>Phone:</w:t>
      </w:r>
      <w:r w:rsidRPr="0015012B">
        <w:rPr>
          <w:rFonts w:ascii="Garamond" w:hAnsi="Garamond"/>
        </w:rPr>
        <w:tab/>
      </w:r>
      <w:r w:rsidRPr="0015012B">
        <w:rPr>
          <w:rFonts w:ascii="Garamond" w:hAnsi="Garamond"/>
        </w:rPr>
        <w:tab/>
      </w:r>
      <w:r w:rsidRPr="0015012B">
        <w:rPr>
          <w:rFonts w:ascii="Garamond" w:hAnsi="Garamond"/>
        </w:rPr>
        <w:tab/>
        <w:t>775-784-6863 (voicemail checked daily)</w:t>
      </w:r>
    </w:p>
    <w:p w14:paraId="616860D0" w14:textId="2D00AE90" w:rsidR="00D413CD" w:rsidRDefault="00D413CD" w:rsidP="0015012B">
      <w:pPr>
        <w:rPr>
          <w:rFonts w:ascii="Garamond" w:hAnsi="Garamond"/>
        </w:rPr>
      </w:pPr>
    </w:p>
    <w:p w14:paraId="0E359E76" w14:textId="0A13E079" w:rsidR="00C263D0" w:rsidRPr="00C263D0" w:rsidRDefault="00C263D0" w:rsidP="0015012B">
      <w:pPr>
        <w:rPr>
          <w:rFonts w:ascii="Garamond" w:hAnsi="Garamond"/>
        </w:rPr>
      </w:pPr>
      <w:r w:rsidRPr="00C263D0">
        <w:rPr>
          <w:rFonts w:ascii="Garamond" w:hAnsi="Garamond"/>
        </w:rPr>
        <w:t>On a daily basis, humans are bombarded with thousands of persuasive messages that compete for our attention. Advertisements urge use to buy certain products. Social media posts urge us to support specific political causes and candidates while opposing others. Even our interpersonal relationships involve persuasive appeals. The purpose of this course is to help you better understand how those messages work. During the semester, we’ll attempt to answer questions such as:</w:t>
      </w:r>
      <w:r w:rsidRPr="00C263D0">
        <w:rPr>
          <w:rFonts w:ascii="Garamond" w:hAnsi="Garamond"/>
        </w:rPr>
        <w:br/>
      </w:r>
    </w:p>
    <w:p w14:paraId="485F0C76" w14:textId="6727F835" w:rsidR="00C263D0" w:rsidRPr="00C263D0" w:rsidRDefault="00C263D0" w:rsidP="0015012B">
      <w:pPr>
        <w:pStyle w:val="ListParagraph"/>
        <w:numPr>
          <w:ilvl w:val="0"/>
          <w:numId w:val="2"/>
        </w:numPr>
        <w:rPr>
          <w:rFonts w:ascii="Garamond" w:hAnsi="Garamond"/>
          <w:sz w:val="24"/>
          <w:szCs w:val="24"/>
        </w:rPr>
      </w:pPr>
      <w:r w:rsidRPr="00C263D0">
        <w:rPr>
          <w:rFonts w:ascii="Garamond" w:hAnsi="Garamond"/>
          <w:sz w:val="24"/>
          <w:szCs w:val="24"/>
        </w:rPr>
        <w:t>What role do arguments, narratives, and visual images play in the persuasive process?</w:t>
      </w:r>
    </w:p>
    <w:p w14:paraId="08B65C73" w14:textId="33B30497" w:rsidR="00C263D0" w:rsidRPr="00C263D0" w:rsidRDefault="007F1481" w:rsidP="0015012B">
      <w:pPr>
        <w:pStyle w:val="ListParagraph"/>
        <w:numPr>
          <w:ilvl w:val="0"/>
          <w:numId w:val="2"/>
        </w:numPr>
        <w:rPr>
          <w:rFonts w:ascii="Garamond" w:hAnsi="Garamond"/>
          <w:sz w:val="24"/>
          <w:szCs w:val="24"/>
        </w:rPr>
      </w:pPr>
      <w:r>
        <w:rPr>
          <w:rFonts w:ascii="Garamond" w:hAnsi="Garamond"/>
          <w:sz w:val="24"/>
          <w:szCs w:val="24"/>
        </w:rPr>
        <w:t>Why</w:t>
      </w:r>
      <w:r w:rsidR="00C263D0" w:rsidRPr="00C263D0">
        <w:rPr>
          <w:rFonts w:ascii="Garamond" w:hAnsi="Garamond"/>
          <w:sz w:val="24"/>
          <w:szCs w:val="24"/>
        </w:rPr>
        <w:t xml:space="preserve"> are we psychologically persuaded by some messages but not by others? </w:t>
      </w:r>
    </w:p>
    <w:p w14:paraId="65BDD1D7" w14:textId="77C19AED" w:rsidR="00C263D0" w:rsidRPr="00C263D0" w:rsidRDefault="00C263D0" w:rsidP="0015012B">
      <w:pPr>
        <w:pStyle w:val="ListParagraph"/>
        <w:numPr>
          <w:ilvl w:val="0"/>
          <w:numId w:val="2"/>
        </w:numPr>
        <w:rPr>
          <w:rFonts w:ascii="Garamond" w:hAnsi="Garamond"/>
          <w:sz w:val="24"/>
          <w:szCs w:val="24"/>
        </w:rPr>
      </w:pPr>
      <w:r w:rsidRPr="00C263D0">
        <w:rPr>
          <w:rFonts w:ascii="Garamond" w:hAnsi="Garamond"/>
          <w:sz w:val="24"/>
          <w:szCs w:val="24"/>
        </w:rPr>
        <w:t xml:space="preserve">How can we </w:t>
      </w:r>
      <w:r w:rsidR="0060203C">
        <w:rPr>
          <w:rFonts w:ascii="Garamond" w:hAnsi="Garamond"/>
          <w:sz w:val="24"/>
          <w:szCs w:val="24"/>
        </w:rPr>
        <w:t>convince</w:t>
      </w:r>
      <w:r w:rsidRPr="00C263D0">
        <w:rPr>
          <w:rFonts w:ascii="Garamond" w:hAnsi="Garamond"/>
          <w:sz w:val="24"/>
          <w:szCs w:val="24"/>
        </w:rPr>
        <w:t xml:space="preserve"> people to change deeply-held attitudes and beliefs?</w:t>
      </w:r>
    </w:p>
    <w:p w14:paraId="1754CACF" w14:textId="758B69E9" w:rsidR="00C263D0" w:rsidRPr="00C263D0" w:rsidRDefault="00C263D0" w:rsidP="0015012B">
      <w:pPr>
        <w:pStyle w:val="ListParagraph"/>
        <w:numPr>
          <w:ilvl w:val="0"/>
          <w:numId w:val="2"/>
        </w:numPr>
        <w:rPr>
          <w:rFonts w:ascii="Garamond" w:hAnsi="Garamond"/>
          <w:sz w:val="24"/>
          <w:szCs w:val="24"/>
        </w:rPr>
      </w:pPr>
      <w:r w:rsidRPr="00C263D0">
        <w:rPr>
          <w:rFonts w:ascii="Garamond" w:hAnsi="Garamond"/>
          <w:sz w:val="24"/>
          <w:szCs w:val="24"/>
        </w:rPr>
        <w:t xml:space="preserve">Why do people believe conspiracy theories, rumors, </w:t>
      </w:r>
      <w:r w:rsidR="007F1481">
        <w:rPr>
          <w:rFonts w:ascii="Garamond" w:hAnsi="Garamond"/>
          <w:sz w:val="24"/>
          <w:szCs w:val="24"/>
        </w:rPr>
        <w:t>and</w:t>
      </w:r>
      <w:r w:rsidRPr="00C263D0">
        <w:rPr>
          <w:rFonts w:ascii="Garamond" w:hAnsi="Garamond"/>
          <w:sz w:val="24"/>
          <w:szCs w:val="24"/>
        </w:rPr>
        <w:t xml:space="preserve"> misinformation? What do we do about these messages?</w:t>
      </w:r>
    </w:p>
    <w:p w14:paraId="17CB137F" w14:textId="77777777" w:rsidR="00C263D0" w:rsidRDefault="00C263D0" w:rsidP="0015012B">
      <w:pPr>
        <w:rPr>
          <w:rFonts w:ascii="Garamond" w:hAnsi="Garamond"/>
        </w:rPr>
      </w:pPr>
    </w:p>
    <w:p w14:paraId="11DD262F" w14:textId="4F0CF6D5" w:rsidR="00D413CD" w:rsidRPr="00D413CD" w:rsidRDefault="00D413CD" w:rsidP="00D413CD">
      <w:pPr>
        <w:jc w:val="center"/>
        <w:rPr>
          <w:rFonts w:ascii="Garamond" w:hAnsi="Garamond"/>
          <w:b/>
          <w:bCs/>
        </w:rPr>
      </w:pPr>
      <w:r w:rsidRPr="00D413CD">
        <w:rPr>
          <w:rFonts w:ascii="Garamond" w:hAnsi="Garamond"/>
          <w:b/>
          <w:bCs/>
        </w:rPr>
        <w:t>C</w:t>
      </w:r>
      <w:r w:rsidR="00C263D0">
        <w:rPr>
          <w:rFonts w:ascii="Garamond" w:hAnsi="Garamond"/>
          <w:b/>
          <w:bCs/>
        </w:rPr>
        <w:t xml:space="preserve">atalog </w:t>
      </w:r>
      <w:r w:rsidRPr="00D413CD">
        <w:rPr>
          <w:rFonts w:ascii="Garamond" w:hAnsi="Garamond"/>
          <w:b/>
          <w:bCs/>
        </w:rPr>
        <w:t>Descriptio</w:t>
      </w:r>
      <w:r>
        <w:rPr>
          <w:rFonts w:ascii="Garamond" w:hAnsi="Garamond"/>
          <w:b/>
          <w:bCs/>
        </w:rPr>
        <w:t>n</w:t>
      </w:r>
      <w:r w:rsidR="00C263D0">
        <w:rPr>
          <w:rFonts w:ascii="Garamond" w:hAnsi="Garamond"/>
          <w:b/>
          <w:bCs/>
        </w:rPr>
        <w:t xml:space="preserve"> and Course Prerequisites</w:t>
      </w:r>
    </w:p>
    <w:p w14:paraId="2910D3DA" w14:textId="1411F7DC" w:rsidR="0015012B" w:rsidRDefault="0015012B" w:rsidP="0015012B">
      <w:pPr>
        <w:rPr>
          <w:rFonts w:ascii="Garamond" w:hAnsi="Garamond"/>
        </w:rPr>
      </w:pPr>
    </w:p>
    <w:p w14:paraId="543A07B6" w14:textId="1AC20E06" w:rsidR="0015012B" w:rsidRDefault="00D413CD" w:rsidP="0015012B">
      <w:pPr>
        <w:rPr>
          <w:rFonts w:ascii="Garamond" w:hAnsi="Garamond"/>
        </w:rPr>
      </w:pPr>
      <w:r>
        <w:rPr>
          <w:rFonts w:ascii="Garamond" w:hAnsi="Garamond"/>
        </w:rPr>
        <w:t>From the UNR catalog:</w:t>
      </w:r>
      <w:r w:rsidR="00C263D0">
        <w:rPr>
          <w:rFonts w:ascii="Garamond" w:hAnsi="Garamond"/>
        </w:rPr>
        <w:t xml:space="preserve"> “Contemporary research in persuasive communication; role of speech communication in changing beliefs, attitudes, values, intentions, and behavior.” Prerequisites: </w:t>
      </w:r>
      <w:r w:rsidR="0015012B">
        <w:rPr>
          <w:rFonts w:ascii="Garamond" w:hAnsi="Garamond"/>
        </w:rPr>
        <w:t>COM113 and COM212.</w:t>
      </w:r>
    </w:p>
    <w:p w14:paraId="4586EC44" w14:textId="77777777" w:rsidR="0015012B" w:rsidRDefault="0015012B" w:rsidP="0015012B">
      <w:pPr>
        <w:rPr>
          <w:rFonts w:ascii="Garamond" w:hAnsi="Garamond"/>
        </w:rPr>
      </w:pPr>
    </w:p>
    <w:p w14:paraId="5243F319" w14:textId="047DB01E" w:rsidR="0015012B" w:rsidRPr="0015012B" w:rsidRDefault="0015012B" w:rsidP="0015012B">
      <w:pPr>
        <w:jc w:val="center"/>
        <w:rPr>
          <w:rFonts w:ascii="Garamond" w:hAnsi="Garamond"/>
          <w:b/>
          <w:bCs/>
        </w:rPr>
      </w:pPr>
      <w:r w:rsidRPr="0015012B">
        <w:rPr>
          <w:rFonts w:ascii="Garamond" w:hAnsi="Garamond"/>
          <w:b/>
          <w:bCs/>
        </w:rPr>
        <w:t>Course Learning Outcomes</w:t>
      </w:r>
    </w:p>
    <w:p w14:paraId="36F1515C" w14:textId="2A9C7F34" w:rsidR="0015012B" w:rsidRPr="0015012B" w:rsidRDefault="0015012B" w:rsidP="0015012B">
      <w:pPr>
        <w:rPr>
          <w:rFonts w:ascii="Garamond" w:hAnsi="Garamond"/>
        </w:rPr>
      </w:pPr>
    </w:p>
    <w:p w14:paraId="50C8B9B6" w14:textId="1EB5655C" w:rsidR="0015012B" w:rsidRPr="0015012B" w:rsidRDefault="0015012B" w:rsidP="0015012B">
      <w:pPr>
        <w:rPr>
          <w:rFonts w:ascii="Garamond" w:hAnsi="Garamond"/>
        </w:rPr>
      </w:pPr>
      <w:r w:rsidRPr="0015012B">
        <w:rPr>
          <w:rFonts w:ascii="Garamond" w:hAnsi="Garamond"/>
        </w:rPr>
        <w:t xml:space="preserve">At the end of this course, students will be able to . . . </w:t>
      </w:r>
    </w:p>
    <w:p w14:paraId="2FFE316C" w14:textId="77777777" w:rsidR="0015012B" w:rsidRPr="0015012B" w:rsidRDefault="0015012B" w:rsidP="0015012B">
      <w:pPr>
        <w:rPr>
          <w:rFonts w:ascii="Garamond" w:hAnsi="Garamond"/>
        </w:rPr>
      </w:pPr>
    </w:p>
    <w:p w14:paraId="263EF718" w14:textId="62EF5439" w:rsidR="0015012B" w:rsidRPr="0015012B" w:rsidRDefault="0015012B" w:rsidP="0015012B">
      <w:pPr>
        <w:pStyle w:val="ListParagraph"/>
        <w:numPr>
          <w:ilvl w:val="0"/>
          <w:numId w:val="1"/>
        </w:numPr>
        <w:rPr>
          <w:rFonts w:ascii="Garamond" w:hAnsi="Garamond" w:cs="Times New Roman"/>
          <w:sz w:val="24"/>
          <w:szCs w:val="24"/>
        </w:rPr>
      </w:pPr>
      <w:r w:rsidRPr="0015012B">
        <w:rPr>
          <w:rFonts w:ascii="Garamond" w:hAnsi="Garamond" w:cs="Times New Roman"/>
          <w:sz w:val="24"/>
          <w:szCs w:val="24"/>
        </w:rPr>
        <w:t xml:space="preserve">Explain persuasion theory and concepts. </w:t>
      </w:r>
    </w:p>
    <w:p w14:paraId="589A2C22" w14:textId="77777777" w:rsidR="0015012B" w:rsidRPr="0015012B" w:rsidRDefault="0015012B" w:rsidP="0015012B">
      <w:pPr>
        <w:pStyle w:val="ListParagraph"/>
        <w:numPr>
          <w:ilvl w:val="0"/>
          <w:numId w:val="1"/>
        </w:numPr>
        <w:rPr>
          <w:rFonts w:ascii="Garamond" w:hAnsi="Garamond" w:cs="Times New Roman"/>
          <w:sz w:val="24"/>
          <w:szCs w:val="24"/>
        </w:rPr>
      </w:pPr>
      <w:r w:rsidRPr="0015012B">
        <w:rPr>
          <w:rFonts w:ascii="Garamond" w:hAnsi="Garamond" w:cs="Times New Roman"/>
          <w:sz w:val="24"/>
          <w:szCs w:val="24"/>
        </w:rPr>
        <w:t>Explain persuasive strategies used in different contexts such as advertising, politics, social movements, and interpersonal situations.</w:t>
      </w:r>
    </w:p>
    <w:p w14:paraId="2D9BFB14" w14:textId="77777777" w:rsidR="0015012B" w:rsidRPr="0015012B" w:rsidRDefault="0015012B" w:rsidP="0015012B">
      <w:pPr>
        <w:pStyle w:val="ListParagraph"/>
        <w:numPr>
          <w:ilvl w:val="0"/>
          <w:numId w:val="1"/>
        </w:numPr>
        <w:rPr>
          <w:rFonts w:ascii="Garamond" w:hAnsi="Garamond" w:cs="Times New Roman"/>
          <w:sz w:val="24"/>
          <w:szCs w:val="24"/>
        </w:rPr>
      </w:pPr>
      <w:r w:rsidRPr="0015012B">
        <w:rPr>
          <w:rFonts w:ascii="Garamond" w:hAnsi="Garamond" w:cs="Times New Roman"/>
          <w:sz w:val="24"/>
          <w:szCs w:val="24"/>
        </w:rPr>
        <w:t>Analyze and evaluate persuasive strategies in various types of persuasive messages using rhetorical criticism methods.</w:t>
      </w:r>
    </w:p>
    <w:p w14:paraId="53FC093A" w14:textId="77777777" w:rsidR="0015012B" w:rsidRPr="0015012B" w:rsidRDefault="0015012B" w:rsidP="0015012B">
      <w:pPr>
        <w:pStyle w:val="ListParagraph"/>
        <w:numPr>
          <w:ilvl w:val="0"/>
          <w:numId w:val="1"/>
        </w:numPr>
        <w:rPr>
          <w:rFonts w:ascii="Garamond" w:hAnsi="Garamond" w:cs="Times New Roman"/>
          <w:sz w:val="24"/>
          <w:szCs w:val="24"/>
        </w:rPr>
      </w:pPr>
      <w:r w:rsidRPr="0015012B">
        <w:rPr>
          <w:rFonts w:ascii="Garamond" w:hAnsi="Garamond" w:cs="Times New Roman"/>
          <w:sz w:val="24"/>
          <w:szCs w:val="24"/>
        </w:rPr>
        <w:t>Describe and/or create persuasive campaigns.</w:t>
      </w:r>
    </w:p>
    <w:p w14:paraId="06FAE38B" w14:textId="77777777" w:rsidR="0015012B" w:rsidRPr="0015012B" w:rsidRDefault="0015012B" w:rsidP="0015012B">
      <w:pPr>
        <w:pStyle w:val="ListParagraph"/>
        <w:numPr>
          <w:ilvl w:val="0"/>
          <w:numId w:val="1"/>
        </w:numPr>
        <w:rPr>
          <w:rFonts w:ascii="Garamond" w:hAnsi="Garamond" w:cs="Times New Roman"/>
          <w:sz w:val="24"/>
          <w:szCs w:val="24"/>
        </w:rPr>
      </w:pPr>
      <w:r w:rsidRPr="0015012B">
        <w:rPr>
          <w:rFonts w:ascii="Garamond" w:hAnsi="Garamond" w:cs="Times New Roman"/>
          <w:sz w:val="24"/>
          <w:szCs w:val="24"/>
        </w:rPr>
        <w:t>Identify rhetorical and social scientific approaches to studying persuasion.</w:t>
      </w:r>
    </w:p>
    <w:p w14:paraId="27122095" w14:textId="1F0920F6" w:rsidR="007F1481" w:rsidRDefault="0015012B" w:rsidP="007F1481">
      <w:pPr>
        <w:pStyle w:val="ListParagraph"/>
        <w:numPr>
          <w:ilvl w:val="0"/>
          <w:numId w:val="1"/>
        </w:numPr>
        <w:rPr>
          <w:rFonts w:ascii="Garamond" w:hAnsi="Garamond" w:cs="Times New Roman"/>
          <w:sz w:val="24"/>
          <w:szCs w:val="24"/>
        </w:rPr>
      </w:pPr>
      <w:r w:rsidRPr="0015012B">
        <w:rPr>
          <w:rFonts w:ascii="Garamond" w:hAnsi="Garamond" w:cs="Times New Roman"/>
          <w:sz w:val="24"/>
          <w:szCs w:val="24"/>
        </w:rPr>
        <w:t>Compare persuasion strategies specific to mediated contexts (television, internet, and print) including strategies related to propaganda contexts</w:t>
      </w:r>
    </w:p>
    <w:p w14:paraId="79DD9D4F" w14:textId="77777777" w:rsidR="007F1481" w:rsidRDefault="007F1481">
      <w:pPr>
        <w:rPr>
          <w:rFonts w:ascii="Garamond" w:hAnsi="Garamond" w:cs="Times New Roman"/>
          <w:b/>
          <w:bCs/>
        </w:rPr>
      </w:pPr>
      <w:r>
        <w:rPr>
          <w:rFonts w:ascii="Garamond" w:hAnsi="Garamond" w:cs="Times New Roman"/>
          <w:b/>
          <w:bCs/>
        </w:rPr>
        <w:br w:type="page"/>
      </w:r>
    </w:p>
    <w:p w14:paraId="47DD6F57" w14:textId="520DE381" w:rsidR="007338A9" w:rsidRPr="007338A9" w:rsidRDefault="007338A9" w:rsidP="007F1481">
      <w:pPr>
        <w:jc w:val="center"/>
        <w:rPr>
          <w:rFonts w:ascii="Garamond" w:hAnsi="Garamond" w:cs="Times New Roman"/>
          <w:b/>
          <w:bCs/>
        </w:rPr>
      </w:pPr>
      <w:r w:rsidRPr="007338A9">
        <w:rPr>
          <w:rFonts w:ascii="Garamond" w:hAnsi="Garamond" w:cs="Times New Roman"/>
          <w:b/>
          <w:bCs/>
        </w:rPr>
        <w:lastRenderedPageBreak/>
        <w:t>Course Format</w:t>
      </w:r>
      <w:r w:rsidR="0060203C">
        <w:rPr>
          <w:rFonts w:ascii="Garamond" w:hAnsi="Garamond" w:cs="Times New Roman"/>
          <w:b/>
          <w:bCs/>
        </w:rPr>
        <w:t xml:space="preserve"> and COVID-19 Provisions</w:t>
      </w:r>
    </w:p>
    <w:p w14:paraId="7A845530" w14:textId="77777777" w:rsidR="002245ED" w:rsidRDefault="002245ED" w:rsidP="007338A9">
      <w:pPr>
        <w:rPr>
          <w:rFonts w:ascii="Garamond" w:hAnsi="Garamond" w:cs="Times New Roman"/>
        </w:rPr>
      </w:pPr>
    </w:p>
    <w:p w14:paraId="3AD9A320" w14:textId="4EE0FEFB" w:rsidR="007338A9" w:rsidRDefault="002245ED" w:rsidP="007338A9">
      <w:pPr>
        <w:rPr>
          <w:rFonts w:ascii="Garamond" w:hAnsi="Garamond" w:cs="Times New Roman"/>
        </w:rPr>
      </w:pPr>
      <w:r>
        <w:rPr>
          <w:rFonts w:ascii="Garamond" w:hAnsi="Garamond" w:cs="Times New Roman"/>
        </w:rPr>
        <w:t>This class uses active learning methods. Class teaching methods will include a combination of lecture, discussion, small group activities, and workshops designed to help you become more effective critics of persuasive messages.</w:t>
      </w:r>
      <w:r w:rsidR="0060203C">
        <w:rPr>
          <w:rFonts w:ascii="Garamond" w:hAnsi="Garamond" w:cs="Times New Roman"/>
        </w:rPr>
        <w:t xml:space="preserve">  </w:t>
      </w:r>
      <w:r>
        <w:rPr>
          <w:rFonts w:ascii="Garamond" w:hAnsi="Garamond" w:cs="Times New Roman"/>
        </w:rPr>
        <w:t>Please note that this class will be delivered fully in-person</w:t>
      </w:r>
      <w:r w:rsidR="0060203C">
        <w:rPr>
          <w:rFonts w:ascii="Garamond" w:hAnsi="Garamond" w:cs="Times New Roman"/>
        </w:rPr>
        <w:t>, unless university poli</w:t>
      </w:r>
      <w:r w:rsidR="00026B52">
        <w:rPr>
          <w:rFonts w:ascii="Garamond" w:hAnsi="Garamond" w:cs="Times New Roman"/>
        </w:rPr>
        <w:t>cy changes</w:t>
      </w:r>
      <w:r>
        <w:rPr>
          <w:rFonts w:ascii="Garamond" w:hAnsi="Garamond" w:cs="Times New Roman"/>
        </w:rPr>
        <w:t>.</w:t>
      </w:r>
    </w:p>
    <w:p w14:paraId="3EAB634C" w14:textId="77777777" w:rsidR="002245ED" w:rsidRDefault="002245ED" w:rsidP="007338A9">
      <w:pPr>
        <w:jc w:val="center"/>
        <w:rPr>
          <w:rFonts w:ascii="Garamond" w:hAnsi="Garamond" w:cs="Times New Roman"/>
          <w:b/>
          <w:bCs/>
        </w:rPr>
      </w:pPr>
    </w:p>
    <w:p w14:paraId="0C0A2C41" w14:textId="41C50707" w:rsidR="007338A9" w:rsidRDefault="007338A9" w:rsidP="007338A9">
      <w:pPr>
        <w:jc w:val="center"/>
        <w:rPr>
          <w:rFonts w:ascii="Garamond" w:hAnsi="Garamond" w:cs="Times New Roman"/>
          <w:b/>
          <w:bCs/>
        </w:rPr>
      </w:pPr>
      <w:r w:rsidRPr="007338A9">
        <w:rPr>
          <w:rFonts w:ascii="Garamond" w:hAnsi="Garamond" w:cs="Times New Roman"/>
          <w:b/>
          <w:bCs/>
        </w:rPr>
        <w:t>Required Readings</w:t>
      </w:r>
      <w:r>
        <w:rPr>
          <w:rFonts w:ascii="Garamond" w:hAnsi="Garamond" w:cs="Times New Roman"/>
          <w:b/>
          <w:bCs/>
        </w:rPr>
        <w:t xml:space="preserve"> and Materials</w:t>
      </w:r>
    </w:p>
    <w:p w14:paraId="07D7AC96" w14:textId="78049B5B" w:rsidR="007338A9" w:rsidRDefault="007338A9" w:rsidP="007338A9">
      <w:pPr>
        <w:rPr>
          <w:rFonts w:ascii="Garamond" w:hAnsi="Garamond" w:cs="Times New Roman"/>
          <w:b/>
          <w:bCs/>
        </w:rPr>
      </w:pPr>
    </w:p>
    <w:p w14:paraId="7B0C79D8" w14:textId="1D944EE9" w:rsidR="007338A9" w:rsidRPr="007338A9" w:rsidRDefault="002245ED" w:rsidP="007338A9">
      <w:pPr>
        <w:rPr>
          <w:rFonts w:ascii="Garamond" w:hAnsi="Garamond" w:cs="Times New Roman"/>
        </w:rPr>
      </w:pPr>
      <w:r>
        <w:rPr>
          <w:rFonts w:ascii="Garamond" w:hAnsi="Garamond" w:cs="Times New Roman"/>
        </w:rPr>
        <w:t xml:space="preserve">1. </w:t>
      </w:r>
      <w:r w:rsidR="007338A9" w:rsidRPr="007338A9">
        <w:rPr>
          <w:rFonts w:ascii="Garamond" w:hAnsi="Garamond" w:cs="Times New Roman"/>
        </w:rPr>
        <w:t>All readings will be made available electronically through electronic library reserves.</w:t>
      </w:r>
    </w:p>
    <w:p w14:paraId="68E0D7C6" w14:textId="1176F553" w:rsidR="007338A9" w:rsidRDefault="007338A9" w:rsidP="007338A9">
      <w:pPr>
        <w:rPr>
          <w:rFonts w:ascii="Garamond" w:hAnsi="Garamond" w:cs="Times New Roman"/>
        </w:rPr>
      </w:pPr>
    </w:p>
    <w:p w14:paraId="71D43683" w14:textId="77777777" w:rsidR="001626D8" w:rsidRDefault="002245ED" w:rsidP="007338A9">
      <w:pPr>
        <w:rPr>
          <w:rFonts w:ascii="Garamond" w:hAnsi="Garamond" w:cs="Times New Roman"/>
        </w:rPr>
      </w:pPr>
      <w:r>
        <w:rPr>
          <w:rFonts w:ascii="Garamond" w:hAnsi="Garamond" w:cs="Times New Roman"/>
        </w:rPr>
        <w:t xml:space="preserve">2. </w:t>
      </w:r>
      <w:r w:rsidR="007338A9">
        <w:rPr>
          <w:rFonts w:ascii="Garamond" w:hAnsi="Garamond" w:cs="Times New Roman"/>
        </w:rPr>
        <w:t>Access to an APA style manual.</w:t>
      </w:r>
    </w:p>
    <w:p w14:paraId="2381FF42" w14:textId="77777777" w:rsidR="001626D8" w:rsidRDefault="001626D8" w:rsidP="007338A9">
      <w:pPr>
        <w:rPr>
          <w:rFonts w:ascii="Garamond" w:hAnsi="Garamond" w:cs="Times New Roman"/>
        </w:rPr>
      </w:pPr>
    </w:p>
    <w:p w14:paraId="1BAE3258" w14:textId="028CA46F" w:rsidR="007338A9" w:rsidRDefault="001626D8" w:rsidP="007338A9">
      <w:pPr>
        <w:rPr>
          <w:rFonts w:ascii="Garamond" w:hAnsi="Garamond" w:cs="Times New Roman"/>
        </w:rPr>
      </w:pPr>
      <w:r>
        <w:rPr>
          <w:rFonts w:ascii="Garamond" w:hAnsi="Garamond" w:cs="Times New Roman"/>
        </w:rPr>
        <w:t xml:space="preserve">3. A laptop, netbook, or e-tablet capable of word processing, brough to class weekly. (Not an absolute requirement, but helpful). </w:t>
      </w:r>
      <w:r w:rsidR="007338A9">
        <w:rPr>
          <w:rFonts w:ascii="Garamond" w:hAnsi="Garamond" w:cs="Times New Roman"/>
        </w:rPr>
        <w:t xml:space="preserve"> </w:t>
      </w:r>
    </w:p>
    <w:p w14:paraId="1429020F" w14:textId="77777777" w:rsidR="007338A9" w:rsidRPr="007338A9" w:rsidRDefault="007338A9" w:rsidP="007338A9">
      <w:pPr>
        <w:rPr>
          <w:rFonts w:ascii="Garamond" w:hAnsi="Garamond" w:cs="Times New Roman"/>
        </w:rPr>
      </w:pPr>
    </w:p>
    <w:p w14:paraId="7CE317B9" w14:textId="4A5E7172" w:rsidR="007338A9" w:rsidRDefault="007338A9" w:rsidP="007338A9">
      <w:pPr>
        <w:rPr>
          <w:rFonts w:ascii="Garamond" w:hAnsi="Garamond" w:cs="Times New Roman"/>
        </w:rPr>
      </w:pPr>
      <w:r>
        <w:rPr>
          <w:rFonts w:ascii="Garamond" w:hAnsi="Garamond" w:cs="Times New Roman"/>
        </w:rPr>
        <w:t>Note: this class may leverage third-party content.</w:t>
      </w:r>
    </w:p>
    <w:p w14:paraId="0EA680E2" w14:textId="1CDF0210" w:rsidR="007338A9" w:rsidRDefault="007338A9" w:rsidP="007338A9">
      <w:pPr>
        <w:rPr>
          <w:rFonts w:ascii="Garamond" w:hAnsi="Garamond" w:cs="Times New Roman"/>
        </w:rPr>
      </w:pPr>
    </w:p>
    <w:p w14:paraId="325EE6B2" w14:textId="428F00B5" w:rsidR="002245ED" w:rsidRPr="002245ED" w:rsidRDefault="002245ED" w:rsidP="002245ED">
      <w:pPr>
        <w:jc w:val="center"/>
        <w:rPr>
          <w:rFonts w:ascii="Garamond" w:hAnsi="Garamond" w:cs="Times New Roman"/>
          <w:b/>
          <w:bCs/>
        </w:rPr>
      </w:pPr>
      <w:r w:rsidRPr="002245ED">
        <w:rPr>
          <w:rFonts w:ascii="Garamond" w:hAnsi="Garamond" w:cs="Times New Roman"/>
          <w:b/>
          <w:bCs/>
        </w:rPr>
        <w:t>Course Assignments</w:t>
      </w:r>
    </w:p>
    <w:p w14:paraId="031AE8D1" w14:textId="6AFB8CD4" w:rsidR="002245ED" w:rsidRDefault="002245ED" w:rsidP="007338A9">
      <w:pPr>
        <w:rPr>
          <w:rFonts w:ascii="Garamond" w:hAnsi="Garamond" w:cs="Times New Roman"/>
        </w:rPr>
      </w:pPr>
    </w:p>
    <w:p w14:paraId="02D04FA6" w14:textId="54F0DC9C" w:rsidR="0020471B" w:rsidRDefault="002C3DE0" w:rsidP="007338A9">
      <w:pPr>
        <w:rPr>
          <w:rFonts w:ascii="Garamond" w:hAnsi="Garamond" w:cs="Times New Roman"/>
        </w:rPr>
      </w:pPr>
      <w:r>
        <w:rPr>
          <w:rFonts w:ascii="Garamond" w:hAnsi="Garamond" w:cs="Times New Roman"/>
          <w:u w:val="single"/>
        </w:rPr>
        <w:t>Unit Exams</w:t>
      </w:r>
      <w:r>
        <w:rPr>
          <w:rFonts w:ascii="Garamond" w:hAnsi="Garamond" w:cs="Times New Roman"/>
        </w:rPr>
        <w:t>: There will be three non-cumulative unit exams during the semester, in Weeks 5, 10, and 15. They will consist of a combination of multiple-choice, matching and short answer questions. A study guide will be distributed before each exam. (</w:t>
      </w:r>
      <w:r w:rsidR="002847A3">
        <w:rPr>
          <w:rFonts w:ascii="Garamond" w:hAnsi="Garamond" w:cs="Times New Roman"/>
        </w:rPr>
        <w:t>60</w:t>
      </w:r>
      <w:r w:rsidR="009F127D">
        <w:rPr>
          <w:rFonts w:ascii="Garamond" w:hAnsi="Garamond" w:cs="Times New Roman"/>
        </w:rPr>
        <w:t>% of your semester grade</w:t>
      </w:r>
      <w:r>
        <w:rPr>
          <w:rFonts w:ascii="Garamond" w:hAnsi="Garamond" w:cs="Times New Roman"/>
        </w:rPr>
        <w:t>).</w:t>
      </w:r>
    </w:p>
    <w:p w14:paraId="0610E95C" w14:textId="77777777" w:rsidR="0019234A" w:rsidRDefault="0019234A" w:rsidP="0019234A">
      <w:pPr>
        <w:rPr>
          <w:rFonts w:ascii="Garamond" w:hAnsi="Garamond" w:cs="Times New Roman"/>
          <w:u w:val="single"/>
        </w:rPr>
      </w:pPr>
    </w:p>
    <w:p w14:paraId="6C2B425C" w14:textId="470A612B" w:rsidR="0019234A" w:rsidRPr="0020173B" w:rsidRDefault="0019234A" w:rsidP="0019234A">
      <w:pPr>
        <w:rPr>
          <w:rFonts w:ascii="Garamond" w:hAnsi="Garamond" w:cs="Times New Roman"/>
        </w:rPr>
      </w:pPr>
      <w:r>
        <w:rPr>
          <w:rFonts w:ascii="Garamond" w:hAnsi="Garamond" w:cs="Times New Roman"/>
          <w:u w:val="single"/>
        </w:rPr>
        <w:t>Think Pieces, Online Quizzes, and Class Activities</w:t>
      </w:r>
      <w:r>
        <w:rPr>
          <w:rFonts w:ascii="Garamond" w:hAnsi="Garamond" w:cs="Times New Roman"/>
        </w:rPr>
        <w:t xml:space="preserve">. 5 times during the semester, I will ask you to write short think pieces of 4-6 paragraphs. These think pieces are meant to help you apply concepts that we have covered in class and will help you to prepare for exams. There will also be two online quizzes and </w:t>
      </w:r>
      <w:r w:rsidR="007F1481">
        <w:rPr>
          <w:rFonts w:ascii="Garamond" w:hAnsi="Garamond" w:cs="Times New Roman"/>
        </w:rPr>
        <w:t>a handful of in-class activities</w:t>
      </w:r>
      <w:r>
        <w:rPr>
          <w:rFonts w:ascii="Garamond" w:hAnsi="Garamond" w:cs="Times New Roman"/>
        </w:rPr>
        <w:t xml:space="preserve">. (20% of your semester grade). </w:t>
      </w:r>
    </w:p>
    <w:p w14:paraId="7BFA5A81" w14:textId="77777777" w:rsidR="0020471B" w:rsidRDefault="0020471B" w:rsidP="007338A9">
      <w:pPr>
        <w:rPr>
          <w:rFonts w:ascii="Garamond" w:hAnsi="Garamond" w:cs="Times New Roman"/>
        </w:rPr>
      </w:pPr>
    </w:p>
    <w:p w14:paraId="56DBAA1F" w14:textId="49DA119F" w:rsidR="0020471B" w:rsidRDefault="002F387E" w:rsidP="007338A9">
      <w:pPr>
        <w:rPr>
          <w:rFonts w:ascii="Garamond" w:hAnsi="Garamond" w:cs="Times New Roman"/>
        </w:rPr>
      </w:pPr>
      <w:r>
        <w:rPr>
          <w:rFonts w:ascii="Garamond" w:hAnsi="Garamond" w:cs="Times New Roman"/>
          <w:u w:val="single"/>
        </w:rPr>
        <w:t xml:space="preserve">Propaganda </w:t>
      </w:r>
      <w:r w:rsidR="0020471B" w:rsidRPr="0020471B">
        <w:rPr>
          <w:rFonts w:ascii="Garamond" w:hAnsi="Garamond" w:cs="Times New Roman"/>
          <w:u w:val="single"/>
        </w:rPr>
        <w:t>Analysis Paper</w:t>
      </w:r>
      <w:r w:rsidR="0020471B">
        <w:rPr>
          <w:rFonts w:ascii="Garamond" w:hAnsi="Garamond" w:cs="Times New Roman"/>
        </w:rPr>
        <w:t xml:space="preserve">. During the semester, you will complete </w:t>
      </w:r>
      <w:r>
        <w:rPr>
          <w:rFonts w:ascii="Garamond" w:hAnsi="Garamond" w:cs="Times New Roman"/>
        </w:rPr>
        <w:t>an analysis paper (</w:t>
      </w:r>
      <w:r w:rsidR="007F1481">
        <w:rPr>
          <w:rFonts w:ascii="Garamond" w:hAnsi="Garamond" w:cs="Times New Roman"/>
        </w:rPr>
        <w:t>5-7 double-spaced</w:t>
      </w:r>
      <w:r>
        <w:rPr>
          <w:rFonts w:ascii="Garamond" w:hAnsi="Garamond" w:cs="Times New Roman"/>
        </w:rPr>
        <w:t xml:space="preserve"> pages</w:t>
      </w:r>
      <w:r w:rsidR="007F1481">
        <w:rPr>
          <w:rFonts w:ascii="Garamond" w:hAnsi="Garamond" w:cs="Times New Roman"/>
        </w:rPr>
        <w:t xml:space="preserve"> plus references</w:t>
      </w:r>
      <w:r>
        <w:rPr>
          <w:rFonts w:ascii="Garamond" w:hAnsi="Garamond" w:cs="Times New Roman"/>
        </w:rPr>
        <w:t xml:space="preserve">) analyzing the propaganda strategies depicted in a film provided by the instructor. You will be graded mainly on your ability to make connections between course readings and the content of the film. </w:t>
      </w:r>
      <w:r w:rsidR="0020471B">
        <w:rPr>
          <w:rFonts w:ascii="Garamond" w:hAnsi="Garamond" w:cs="Times New Roman"/>
        </w:rPr>
        <w:t>(2</w:t>
      </w:r>
      <w:r>
        <w:rPr>
          <w:rFonts w:ascii="Garamond" w:hAnsi="Garamond" w:cs="Times New Roman"/>
        </w:rPr>
        <w:t>0</w:t>
      </w:r>
      <w:r w:rsidR="0020471B">
        <w:rPr>
          <w:rFonts w:ascii="Garamond" w:hAnsi="Garamond" w:cs="Times New Roman"/>
        </w:rPr>
        <w:t xml:space="preserve">% </w:t>
      </w:r>
      <w:r>
        <w:rPr>
          <w:rFonts w:ascii="Garamond" w:hAnsi="Garamond" w:cs="Times New Roman"/>
        </w:rPr>
        <w:t>total</w:t>
      </w:r>
      <w:r w:rsidR="0020471B">
        <w:rPr>
          <w:rFonts w:ascii="Garamond" w:hAnsi="Garamond" w:cs="Times New Roman"/>
        </w:rPr>
        <w:t>).</w:t>
      </w:r>
    </w:p>
    <w:p w14:paraId="3D63D335" w14:textId="77777777" w:rsidR="005A1141" w:rsidRPr="007338A9" w:rsidRDefault="005A1141" w:rsidP="007338A9">
      <w:pPr>
        <w:rPr>
          <w:rFonts w:ascii="Garamond" w:hAnsi="Garamond" w:cs="Times New Roman"/>
        </w:rPr>
      </w:pPr>
    </w:p>
    <w:p w14:paraId="472AB60F" w14:textId="7CD79982" w:rsidR="009F127D" w:rsidRPr="001626D8" w:rsidRDefault="0015012B" w:rsidP="001626D8">
      <w:pPr>
        <w:jc w:val="center"/>
        <w:rPr>
          <w:rFonts w:ascii="Garamond" w:hAnsi="Garamond"/>
          <w:b/>
          <w:bCs/>
        </w:rPr>
      </w:pPr>
      <w:r w:rsidRPr="00465638">
        <w:rPr>
          <w:rFonts w:ascii="Garamond" w:hAnsi="Garamond"/>
          <w:b/>
          <w:bCs/>
        </w:rPr>
        <w:t xml:space="preserve">Course </w:t>
      </w:r>
      <w:r w:rsidR="002245ED">
        <w:rPr>
          <w:rFonts w:ascii="Garamond" w:hAnsi="Garamond"/>
          <w:b/>
          <w:bCs/>
        </w:rPr>
        <w:t>Grading</w:t>
      </w:r>
    </w:p>
    <w:p w14:paraId="700DEF35" w14:textId="5C7995B7" w:rsidR="002847A3" w:rsidRDefault="009F127D" w:rsidP="00200BB4">
      <w:pPr>
        <w:rPr>
          <w:rFonts w:ascii="Garamond" w:hAnsi="Garamond"/>
        </w:rPr>
      </w:pPr>
      <w:r>
        <w:rPr>
          <w:rFonts w:ascii="Garamond" w:hAnsi="Garamond"/>
        </w:rPr>
        <w:t>Unit Exams</w:t>
      </w:r>
      <w:r w:rsidR="00823A6D">
        <w:rPr>
          <w:rFonts w:ascii="Garamond" w:hAnsi="Garamond"/>
        </w:rPr>
        <w:t xml:space="preserve"> (3 @ 20% each)</w:t>
      </w:r>
      <w:r w:rsidR="005A1141">
        <w:rPr>
          <w:rFonts w:ascii="Garamond" w:hAnsi="Garamond"/>
        </w:rPr>
        <w:tab/>
      </w:r>
      <w:r w:rsidR="005A1141">
        <w:rPr>
          <w:rFonts w:ascii="Garamond" w:hAnsi="Garamond"/>
        </w:rPr>
        <w:tab/>
      </w:r>
      <w:r>
        <w:rPr>
          <w:rFonts w:ascii="Garamond" w:hAnsi="Garamond"/>
        </w:rPr>
        <w:tab/>
      </w:r>
      <w:r>
        <w:rPr>
          <w:rFonts w:ascii="Garamond" w:hAnsi="Garamond"/>
        </w:rPr>
        <w:tab/>
      </w:r>
      <w:r>
        <w:rPr>
          <w:rFonts w:ascii="Garamond" w:hAnsi="Garamond"/>
        </w:rPr>
        <w:tab/>
      </w:r>
      <w:r w:rsidR="002847A3">
        <w:rPr>
          <w:rFonts w:ascii="Garamond" w:hAnsi="Garamond"/>
        </w:rPr>
        <w:t>60</w:t>
      </w:r>
      <w:r>
        <w:rPr>
          <w:rFonts w:ascii="Garamond" w:hAnsi="Garamond"/>
        </w:rPr>
        <w:t>%</w:t>
      </w:r>
      <w:r>
        <w:rPr>
          <w:rFonts w:ascii="Garamond" w:hAnsi="Garamond"/>
        </w:rPr>
        <w:tab/>
      </w:r>
      <w:r>
        <w:rPr>
          <w:rFonts w:ascii="Garamond" w:hAnsi="Garamond"/>
        </w:rPr>
        <w:tab/>
      </w:r>
    </w:p>
    <w:p w14:paraId="649267A4" w14:textId="6254D199" w:rsidR="002847A3" w:rsidRDefault="002F387E" w:rsidP="00200BB4">
      <w:pPr>
        <w:rPr>
          <w:rFonts w:ascii="Garamond" w:hAnsi="Garamond"/>
        </w:rPr>
      </w:pPr>
      <w:r>
        <w:rPr>
          <w:rFonts w:ascii="Garamond" w:hAnsi="Garamond"/>
        </w:rPr>
        <w:t xml:space="preserve">Propaganda </w:t>
      </w:r>
      <w:r w:rsidR="002847A3">
        <w:rPr>
          <w:rFonts w:ascii="Garamond" w:hAnsi="Garamond"/>
        </w:rPr>
        <w:t>Analysis Essay</w:t>
      </w:r>
      <w:r w:rsidR="002847A3">
        <w:rPr>
          <w:rFonts w:ascii="Garamond" w:hAnsi="Garamond"/>
        </w:rPr>
        <w:tab/>
      </w:r>
      <w:r w:rsidR="002847A3">
        <w:rPr>
          <w:rFonts w:ascii="Garamond" w:hAnsi="Garamond"/>
        </w:rPr>
        <w:tab/>
      </w:r>
      <w:r w:rsidR="002847A3">
        <w:rPr>
          <w:rFonts w:ascii="Garamond" w:hAnsi="Garamond"/>
        </w:rPr>
        <w:tab/>
      </w:r>
      <w:r w:rsidR="002847A3">
        <w:rPr>
          <w:rFonts w:ascii="Garamond" w:hAnsi="Garamond"/>
        </w:rPr>
        <w:tab/>
      </w:r>
      <w:r w:rsidR="002847A3">
        <w:rPr>
          <w:rFonts w:ascii="Garamond" w:hAnsi="Garamond"/>
        </w:rPr>
        <w:tab/>
        <w:t>20%</w:t>
      </w:r>
    </w:p>
    <w:p w14:paraId="23CA436E" w14:textId="2B301E7A" w:rsidR="00DF3887" w:rsidRDefault="009A3257" w:rsidP="00200BB4">
      <w:pPr>
        <w:rPr>
          <w:rFonts w:ascii="Garamond" w:hAnsi="Garamond"/>
        </w:rPr>
      </w:pPr>
      <w:r>
        <w:rPr>
          <w:rFonts w:ascii="Garamond" w:hAnsi="Garamond"/>
        </w:rPr>
        <w:t>Think Pieces</w:t>
      </w:r>
      <w:r w:rsidR="005A1141">
        <w:rPr>
          <w:rFonts w:ascii="Garamond" w:hAnsi="Garamond"/>
        </w:rPr>
        <w:t>, Quizz</w:t>
      </w:r>
      <w:r>
        <w:rPr>
          <w:rFonts w:ascii="Garamond" w:hAnsi="Garamond"/>
        </w:rPr>
        <w:t>es, Activities</w:t>
      </w:r>
      <w:r>
        <w:rPr>
          <w:rFonts w:ascii="Garamond" w:hAnsi="Garamond"/>
        </w:rPr>
        <w:tab/>
      </w:r>
      <w:r w:rsidR="00DF3887">
        <w:rPr>
          <w:rFonts w:ascii="Garamond" w:hAnsi="Garamond"/>
        </w:rPr>
        <w:tab/>
      </w:r>
      <w:r w:rsidR="005A1141">
        <w:rPr>
          <w:rFonts w:ascii="Garamond" w:hAnsi="Garamond"/>
        </w:rPr>
        <w:tab/>
      </w:r>
      <w:r w:rsidR="005A1141">
        <w:rPr>
          <w:rFonts w:ascii="Garamond" w:hAnsi="Garamond"/>
        </w:rPr>
        <w:tab/>
      </w:r>
      <w:r w:rsidR="002847A3">
        <w:rPr>
          <w:rFonts w:ascii="Garamond" w:hAnsi="Garamond"/>
        </w:rPr>
        <w:t>20</w:t>
      </w:r>
      <w:r w:rsidR="00DF3887">
        <w:rPr>
          <w:rFonts w:ascii="Garamond" w:hAnsi="Garamond"/>
        </w:rPr>
        <w:t>%</w:t>
      </w:r>
    </w:p>
    <w:p w14:paraId="753B2757" w14:textId="79612691" w:rsidR="009F127D" w:rsidRDefault="009F127D" w:rsidP="00200BB4">
      <w:pPr>
        <w:rPr>
          <w:rFonts w:ascii="Garamond" w:hAnsi="Garamond"/>
        </w:rPr>
      </w:pPr>
    </w:p>
    <w:p w14:paraId="1D585226" w14:textId="77777777" w:rsidR="00011E4F" w:rsidRPr="00003F3B" w:rsidRDefault="00011E4F" w:rsidP="00011E4F">
      <w:pPr>
        <w:pStyle w:val="NoSpacing"/>
        <w:rPr>
          <w:rFonts w:ascii="Garamond" w:hAnsi="Garamond"/>
          <w:sz w:val="24"/>
          <w:szCs w:val="24"/>
        </w:rPr>
      </w:pPr>
      <w:r w:rsidRPr="00003F3B">
        <w:rPr>
          <w:rFonts w:ascii="Garamond" w:hAnsi="Garamond"/>
          <w:sz w:val="24"/>
          <w:szCs w:val="24"/>
        </w:rPr>
        <w:t>This class uses +/- grading. Semester grades will be calculated using the following scale:</w:t>
      </w:r>
    </w:p>
    <w:p w14:paraId="60542E28" w14:textId="77777777" w:rsidR="00011E4F" w:rsidRPr="00003F3B" w:rsidRDefault="00011E4F" w:rsidP="00011E4F">
      <w:pPr>
        <w:pStyle w:val="NoSpacing"/>
        <w:rPr>
          <w:rFonts w:ascii="Garamond" w:hAnsi="Garamond"/>
          <w:sz w:val="24"/>
          <w:szCs w:val="24"/>
        </w:rPr>
      </w:pPr>
    </w:p>
    <w:p w14:paraId="187B90C5" w14:textId="77777777" w:rsidR="00011E4F" w:rsidRPr="00003F3B" w:rsidRDefault="00011E4F" w:rsidP="00011E4F">
      <w:pPr>
        <w:pStyle w:val="NoSpacing"/>
        <w:rPr>
          <w:rFonts w:ascii="Garamond" w:hAnsi="Garamond"/>
          <w:sz w:val="24"/>
          <w:szCs w:val="24"/>
        </w:rPr>
      </w:pPr>
      <w:r w:rsidRPr="00003F3B">
        <w:rPr>
          <w:rFonts w:ascii="Garamond" w:hAnsi="Garamond"/>
          <w:sz w:val="24"/>
          <w:szCs w:val="24"/>
        </w:rPr>
        <w:t>A</w:t>
      </w:r>
      <w:r w:rsidRPr="00003F3B">
        <w:rPr>
          <w:rFonts w:ascii="Garamond" w:hAnsi="Garamond"/>
          <w:sz w:val="24"/>
          <w:szCs w:val="24"/>
        </w:rPr>
        <w:tab/>
        <w:t>93.00% and above</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C+</w:t>
      </w:r>
      <w:r w:rsidRPr="00003F3B">
        <w:rPr>
          <w:rFonts w:ascii="Garamond" w:hAnsi="Garamond"/>
          <w:sz w:val="24"/>
          <w:szCs w:val="24"/>
        </w:rPr>
        <w:tab/>
        <w:t>77.00-79.99%</w:t>
      </w:r>
    </w:p>
    <w:p w14:paraId="576DA00B" w14:textId="77777777" w:rsidR="00011E4F" w:rsidRPr="00003F3B" w:rsidRDefault="00011E4F" w:rsidP="00011E4F">
      <w:pPr>
        <w:pStyle w:val="NoSpacing"/>
        <w:rPr>
          <w:rFonts w:ascii="Garamond" w:hAnsi="Garamond"/>
          <w:sz w:val="24"/>
          <w:szCs w:val="24"/>
        </w:rPr>
      </w:pPr>
      <w:r w:rsidRPr="00003F3B">
        <w:rPr>
          <w:rFonts w:ascii="Garamond" w:hAnsi="Garamond"/>
          <w:sz w:val="24"/>
          <w:szCs w:val="24"/>
        </w:rPr>
        <w:t>A-</w:t>
      </w:r>
      <w:r w:rsidRPr="00003F3B">
        <w:rPr>
          <w:rFonts w:ascii="Garamond" w:hAnsi="Garamond"/>
          <w:sz w:val="24"/>
          <w:szCs w:val="24"/>
        </w:rPr>
        <w:tab/>
        <w:t>90.00-92.99%</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C</w:t>
      </w:r>
      <w:r w:rsidRPr="00003F3B">
        <w:rPr>
          <w:rFonts w:ascii="Garamond" w:hAnsi="Garamond"/>
          <w:sz w:val="24"/>
          <w:szCs w:val="24"/>
        </w:rPr>
        <w:tab/>
        <w:t>72.00-76.99%</w:t>
      </w:r>
    </w:p>
    <w:p w14:paraId="23A1B4F8" w14:textId="4B910825" w:rsidR="00011E4F" w:rsidRPr="00003F3B" w:rsidRDefault="00011E4F" w:rsidP="00011E4F">
      <w:pPr>
        <w:pStyle w:val="NoSpacing"/>
        <w:rPr>
          <w:rFonts w:ascii="Garamond" w:hAnsi="Garamond"/>
          <w:sz w:val="24"/>
          <w:szCs w:val="24"/>
        </w:rPr>
      </w:pPr>
      <w:r w:rsidRPr="00003F3B">
        <w:rPr>
          <w:rFonts w:ascii="Garamond" w:hAnsi="Garamond"/>
          <w:sz w:val="24"/>
          <w:szCs w:val="24"/>
        </w:rPr>
        <w:t>B+</w:t>
      </w:r>
      <w:r w:rsidRPr="00003F3B">
        <w:rPr>
          <w:rFonts w:ascii="Garamond" w:hAnsi="Garamond"/>
          <w:sz w:val="24"/>
          <w:szCs w:val="24"/>
        </w:rPr>
        <w:tab/>
        <w:t>87.00-89.99%</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C-</w:t>
      </w:r>
      <w:r w:rsidRPr="00003F3B">
        <w:rPr>
          <w:rFonts w:ascii="Garamond" w:hAnsi="Garamond"/>
          <w:sz w:val="24"/>
          <w:szCs w:val="24"/>
        </w:rPr>
        <w:tab/>
        <w:t>70.00-71.99%</w:t>
      </w:r>
    </w:p>
    <w:p w14:paraId="0DA841F3" w14:textId="77777777" w:rsidR="00011E4F" w:rsidRPr="00003F3B" w:rsidRDefault="00011E4F" w:rsidP="00011E4F">
      <w:pPr>
        <w:pStyle w:val="NoSpacing"/>
        <w:rPr>
          <w:rFonts w:ascii="Garamond" w:hAnsi="Garamond"/>
          <w:sz w:val="24"/>
          <w:szCs w:val="24"/>
        </w:rPr>
      </w:pPr>
      <w:r w:rsidRPr="00003F3B">
        <w:rPr>
          <w:rFonts w:ascii="Garamond" w:hAnsi="Garamond"/>
          <w:sz w:val="24"/>
          <w:szCs w:val="24"/>
        </w:rPr>
        <w:t>B</w:t>
      </w:r>
      <w:r w:rsidRPr="00003F3B">
        <w:rPr>
          <w:rFonts w:ascii="Garamond" w:hAnsi="Garamond"/>
          <w:sz w:val="24"/>
          <w:szCs w:val="24"/>
        </w:rPr>
        <w:tab/>
        <w:t>83.00-86.99%</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D</w:t>
      </w:r>
      <w:r w:rsidRPr="00003F3B">
        <w:rPr>
          <w:rFonts w:ascii="Garamond" w:hAnsi="Garamond"/>
          <w:sz w:val="24"/>
          <w:szCs w:val="24"/>
        </w:rPr>
        <w:tab/>
        <w:t>60.00-69.99%</w:t>
      </w:r>
    </w:p>
    <w:p w14:paraId="34A6E3F6" w14:textId="688CE082" w:rsidR="00011E4F" w:rsidRPr="00003F3B" w:rsidRDefault="00011E4F" w:rsidP="00011E4F">
      <w:pPr>
        <w:pStyle w:val="NoSpacing"/>
        <w:rPr>
          <w:rFonts w:ascii="Garamond" w:hAnsi="Garamond"/>
          <w:sz w:val="24"/>
          <w:szCs w:val="24"/>
        </w:rPr>
      </w:pPr>
      <w:r w:rsidRPr="00003F3B">
        <w:rPr>
          <w:rFonts w:ascii="Garamond" w:hAnsi="Garamond"/>
          <w:sz w:val="24"/>
          <w:szCs w:val="24"/>
        </w:rPr>
        <w:t>B-</w:t>
      </w:r>
      <w:r w:rsidRPr="00003F3B">
        <w:rPr>
          <w:rFonts w:ascii="Garamond" w:hAnsi="Garamond"/>
          <w:sz w:val="24"/>
          <w:szCs w:val="24"/>
        </w:rPr>
        <w:tab/>
        <w:t>80.00-82.99%</w:t>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r>
      <w:r w:rsidRPr="00003F3B">
        <w:rPr>
          <w:rFonts w:ascii="Garamond" w:hAnsi="Garamond"/>
          <w:sz w:val="24"/>
          <w:szCs w:val="24"/>
        </w:rPr>
        <w:tab/>
        <w:t>F</w:t>
      </w:r>
      <w:r w:rsidRPr="00003F3B">
        <w:rPr>
          <w:rFonts w:ascii="Garamond" w:hAnsi="Garamond"/>
          <w:sz w:val="24"/>
          <w:szCs w:val="24"/>
        </w:rPr>
        <w:tab/>
        <w:t>59.99% and below</w:t>
      </w:r>
    </w:p>
    <w:p w14:paraId="1F7C6851" w14:textId="77777777" w:rsidR="001626D8" w:rsidRDefault="001626D8" w:rsidP="0015012B">
      <w:pPr>
        <w:rPr>
          <w:rFonts w:ascii="Garamond" w:hAnsi="Garamond"/>
        </w:rPr>
      </w:pPr>
    </w:p>
    <w:p w14:paraId="14369EAE" w14:textId="76290A48" w:rsidR="00DF3887" w:rsidRDefault="00011E4F" w:rsidP="0015012B">
      <w:pPr>
        <w:rPr>
          <w:rFonts w:ascii="Garamond" w:hAnsi="Garamond"/>
        </w:rPr>
      </w:pPr>
      <w:r w:rsidRPr="00003F3B">
        <w:rPr>
          <w:rFonts w:ascii="Garamond" w:hAnsi="Garamond"/>
        </w:rPr>
        <w:t>I do not round or curve semester grades.</w:t>
      </w:r>
      <w:r>
        <w:rPr>
          <w:rFonts w:ascii="Garamond" w:hAnsi="Garamond"/>
        </w:rPr>
        <w:t xml:space="preserve"> No extra credit is available.</w:t>
      </w:r>
    </w:p>
    <w:p w14:paraId="35D94FEA" w14:textId="77777777" w:rsidR="00C6409D" w:rsidRDefault="00C6409D" w:rsidP="00C6409D">
      <w:pPr>
        <w:pStyle w:val="Heading2"/>
        <w:jc w:val="center"/>
        <w:rPr>
          <w:rFonts w:ascii="Garamond" w:hAnsi="Garamond"/>
          <w:b/>
          <w:bCs/>
          <w:color w:val="auto"/>
          <w:sz w:val="24"/>
          <w:szCs w:val="24"/>
        </w:rPr>
      </w:pPr>
      <w:r w:rsidRPr="00003F3B">
        <w:rPr>
          <w:rFonts w:ascii="Garamond" w:hAnsi="Garamond"/>
          <w:b/>
          <w:bCs/>
          <w:color w:val="auto"/>
          <w:sz w:val="24"/>
          <w:szCs w:val="24"/>
        </w:rPr>
        <w:lastRenderedPageBreak/>
        <w:t>Course Policies</w:t>
      </w:r>
    </w:p>
    <w:p w14:paraId="6CDB9F31" w14:textId="77777777" w:rsidR="00C6409D" w:rsidRPr="00162AF8" w:rsidRDefault="00C6409D" w:rsidP="00C6409D">
      <w:pPr>
        <w:pStyle w:val="NoSpacing"/>
      </w:pPr>
    </w:p>
    <w:p w14:paraId="40771D2D" w14:textId="77777777" w:rsidR="00C6409D" w:rsidRPr="0013607A" w:rsidRDefault="00C6409D" w:rsidP="00C6409D">
      <w:pPr>
        <w:pStyle w:val="Heading3"/>
        <w:tabs>
          <w:tab w:val="left" w:pos="3747"/>
        </w:tabs>
        <w:rPr>
          <w:rFonts w:ascii="Garamond" w:hAnsi="Garamond"/>
          <w:b/>
          <w:bCs/>
          <w:color w:val="auto"/>
        </w:rPr>
      </w:pPr>
      <w:r w:rsidRPr="00003F3B">
        <w:rPr>
          <w:rStyle w:val="Heading2Char"/>
          <w:rFonts w:ascii="Garamond" w:hAnsi="Garamond"/>
          <w:b/>
          <w:bCs/>
          <w:color w:val="auto"/>
        </w:rPr>
        <w:t>Attendance</w:t>
      </w:r>
      <w:r>
        <w:rPr>
          <w:rStyle w:val="Heading2Char"/>
          <w:rFonts w:ascii="Garamond" w:hAnsi="Garamond"/>
          <w:b/>
          <w:bCs/>
          <w:color w:val="auto"/>
        </w:rPr>
        <w:t xml:space="preserve"> Policy</w:t>
      </w:r>
    </w:p>
    <w:p w14:paraId="34A72349" w14:textId="77777777" w:rsidR="00C6409D" w:rsidRPr="00162AF8" w:rsidRDefault="00C6409D" w:rsidP="00C6409D">
      <w:pPr>
        <w:pStyle w:val="NoSpacing"/>
        <w:rPr>
          <w:sz w:val="18"/>
          <w:szCs w:val="18"/>
        </w:rPr>
      </w:pPr>
    </w:p>
    <w:p w14:paraId="0B017C7E" w14:textId="0E4DFE4A" w:rsidR="00C6409D" w:rsidRDefault="00C6409D" w:rsidP="00C6409D">
      <w:pPr>
        <w:rPr>
          <w:rFonts w:ascii="Garamond" w:hAnsi="Garamond"/>
        </w:rPr>
      </w:pPr>
      <w:r>
        <w:rPr>
          <w:rFonts w:ascii="Garamond" w:hAnsi="Garamond"/>
        </w:rPr>
        <w:t xml:space="preserve">This is a fast-paced, active learning course. Regular attendance and participation </w:t>
      </w:r>
      <w:proofErr w:type="gramStart"/>
      <w:r>
        <w:rPr>
          <w:rFonts w:ascii="Garamond" w:hAnsi="Garamond"/>
        </w:rPr>
        <w:t>is</w:t>
      </w:r>
      <w:proofErr w:type="gramEnd"/>
      <w:r>
        <w:rPr>
          <w:rFonts w:ascii="Garamond" w:hAnsi="Garamond"/>
        </w:rPr>
        <w:t xml:space="preserve"> vital to your success in the course. I don’t grade seat time in this class (in other words, I don’t say “you missed 4 class meetings, so your grade is reduced by 5%”). I will still take roll </w:t>
      </w:r>
      <w:r w:rsidR="00652A61">
        <w:rPr>
          <w:rFonts w:ascii="Garamond" w:hAnsi="Garamond"/>
        </w:rPr>
        <w:t>in every class</w:t>
      </w:r>
      <w:r>
        <w:rPr>
          <w:rFonts w:ascii="Garamond" w:hAnsi="Garamond"/>
        </w:rPr>
        <w:t xml:space="preserve"> to assist with learning names and for recordkeeping purposes (such as inquiries from other campus offices, letters of recommendation, grade disputes, etc.). Your goal should be to miss no more than 2 classes during the term</w:t>
      </w:r>
      <w:r w:rsidR="00E74034">
        <w:rPr>
          <w:rFonts w:ascii="Garamond" w:hAnsi="Garamond"/>
        </w:rPr>
        <w:t xml:space="preserve"> if at all possible</w:t>
      </w:r>
      <w:r>
        <w:rPr>
          <w:rFonts w:ascii="Garamond" w:hAnsi="Garamond"/>
        </w:rPr>
        <w:t xml:space="preserve">. Students who miss more than </w:t>
      </w:r>
      <w:r w:rsidR="00652A61">
        <w:rPr>
          <w:rFonts w:ascii="Garamond" w:hAnsi="Garamond"/>
        </w:rPr>
        <w:t>6</w:t>
      </w:r>
      <w:r>
        <w:rPr>
          <w:rFonts w:ascii="Garamond" w:hAnsi="Garamond"/>
        </w:rPr>
        <w:t xml:space="preserve"> classes will likely have difficulty passing the course. This is not because I’ll penalize you for being absent, but rather, because you’ll have difficulty </w:t>
      </w:r>
      <w:r w:rsidR="001626D8">
        <w:rPr>
          <w:rFonts w:ascii="Garamond" w:hAnsi="Garamond"/>
        </w:rPr>
        <w:t>figuring out how to apply the course material</w:t>
      </w:r>
      <w:r w:rsidR="00E74034">
        <w:rPr>
          <w:rFonts w:ascii="Garamond" w:hAnsi="Garamond"/>
        </w:rPr>
        <w:t xml:space="preserve"> to course assignments</w:t>
      </w:r>
      <w:r w:rsidR="001626D8">
        <w:rPr>
          <w:rFonts w:ascii="Garamond" w:hAnsi="Garamond"/>
        </w:rPr>
        <w:t>.</w:t>
      </w:r>
    </w:p>
    <w:p w14:paraId="67B1F397" w14:textId="77777777" w:rsidR="00C6409D" w:rsidRDefault="00C6409D" w:rsidP="00C6409D">
      <w:pPr>
        <w:rPr>
          <w:rFonts w:ascii="Garamond" w:hAnsi="Garamond"/>
          <w:b/>
          <w:bCs/>
        </w:rPr>
      </w:pPr>
    </w:p>
    <w:p w14:paraId="5311A080" w14:textId="33097AA6" w:rsidR="00C6409D" w:rsidRDefault="00C6409D" w:rsidP="00C6409D">
      <w:pPr>
        <w:rPr>
          <w:rFonts w:ascii="Garamond" w:hAnsi="Garamond"/>
          <w:b/>
          <w:bCs/>
        </w:rPr>
      </w:pPr>
      <w:r>
        <w:rPr>
          <w:rFonts w:ascii="Garamond" w:hAnsi="Garamond"/>
          <w:b/>
          <w:bCs/>
        </w:rPr>
        <w:t>Policy Completion of Work</w:t>
      </w:r>
    </w:p>
    <w:p w14:paraId="0DB3051B" w14:textId="77777777" w:rsidR="00A76AD1" w:rsidRPr="0013607A" w:rsidRDefault="00A76AD1" w:rsidP="00C6409D">
      <w:pPr>
        <w:rPr>
          <w:rFonts w:ascii="Garamond" w:hAnsi="Garamond"/>
          <w:b/>
          <w:bCs/>
        </w:rPr>
      </w:pPr>
    </w:p>
    <w:p w14:paraId="66472737" w14:textId="0BFBB1FD" w:rsidR="00C6409D" w:rsidRDefault="00C6409D" w:rsidP="00C6409D">
      <w:pPr>
        <w:rPr>
          <w:rFonts w:ascii="Garamond" w:hAnsi="Garamond"/>
        </w:rPr>
      </w:pPr>
      <w:r>
        <w:rPr>
          <w:rFonts w:ascii="Garamond" w:hAnsi="Garamond"/>
        </w:rPr>
        <w:t>Failure to submit an assignment before the deadline (or within the timeline allowed by the late work policies below) will result in a grade of 0 on that assignment. Please do not ask me to reopen missing assignments at the end of the semester.</w:t>
      </w:r>
      <w:r w:rsidR="00E74034">
        <w:rPr>
          <w:rFonts w:ascii="Garamond" w:hAnsi="Garamond"/>
        </w:rPr>
        <w:t xml:space="preserve"> This is unfair to classmates who have been keeping up with their work all semester.</w:t>
      </w:r>
    </w:p>
    <w:p w14:paraId="12208535" w14:textId="77777777" w:rsidR="00A76AD1" w:rsidRDefault="00A76AD1" w:rsidP="00C6409D">
      <w:pPr>
        <w:pStyle w:val="Heading3"/>
        <w:rPr>
          <w:rFonts w:ascii="Garamond" w:hAnsi="Garamond"/>
          <w:b/>
          <w:bCs/>
          <w:color w:val="auto"/>
        </w:rPr>
      </w:pPr>
    </w:p>
    <w:p w14:paraId="52B84537" w14:textId="27D78546" w:rsidR="00C6409D" w:rsidRPr="00003F3B" w:rsidRDefault="00C6409D" w:rsidP="00C6409D">
      <w:pPr>
        <w:pStyle w:val="Heading3"/>
        <w:rPr>
          <w:rFonts w:ascii="Garamond" w:hAnsi="Garamond"/>
          <w:b/>
          <w:bCs/>
          <w:color w:val="auto"/>
        </w:rPr>
      </w:pPr>
      <w:r w:rsidRPr="00003F3B">
        <w:rPr>
          <w:rFonts w:ascii="Garamond" w:hAnsi="Garamond"/>
          <w:b/>
          <w:bCs/>
          <w:color w:val="auto"/>
        </w:rPr>
        <w:t>Submission of Assignments</w:t>
      </w:r>
      <w:r>
        <w:rPr>
          <w:rFonts w:ascii="Garamond" w:hAnsi="Garamond"/>
          <w:b/>
          <w:bCs/>
          <w:color w:val="auto"/>
        </w:rPr>
        <w:t xml:space="preserve"> and Late Work Policies</w:t>
      </w:r>
    </w:p>
    <w:p w14:paraId="02443FD4" w14:textId="77777777" w:rsidR="00C6409D" w:rsidRPr="00003F3B" w:rsidRDefault="00C6409D" w:rsidP="00C6409D">
      <w:pPr>
        <w:pStyle w:val="NoSpacing"/>
        <w:rPr>
          <w:rFonts w:ascii="Garamond" w:hAnsi="Garamond"/>
          <w:sz w:val="24"/>
          <w:szCs w:val="24"/>
        </w:rPr>
      </w:pPr>
    </w:p>
    <w:p w14:paraId="0F514A43" w14:textId="77777777" w:rsidR="00C6409D" w:rsidRDefault="00C6409D" w:rsidP="00C6409D">
      <w:pPr>
        <w:pStyle w:val="NoSpacing"/>
        <w:rPr>
          <w:rFonts w:ascii="Garamond" w:hAnsi="Garamond"/>
          <w:sz w:val="24"/>
          <w:szCs w:val="24"/>
        </w:rPr>
      </w:pPr>
      <w:r w:rsidRPr="00003F3B">
        <w:rPr>
          <w:rFonts w:ascii="Garamond" w:hAnsi="Garamond"/>
          <w:sz w:val="24"/>
          <w:szCs w:val="24"/>
        </w:rPr>
        <w:t>All work in this class</w:t>
      </w:r>
      <w:r>
        <w:rPr>
          <w:rFonts w:ascii="Garamond" w:hAnsi="Garamond"/>
          <w:sz w:val="24"/>
          <w:szCs w:val="24"/>
        </w:rPr>
        <w:t xml:space="preserve"> should be </w:t>
      </w:r>
      <w:r w:rsidRPr="00003F3B">
        <w:rPr>
          <w:rFonts w:ascii="Garamond" w:hAnsi="Garamond"/>
          <w:sz w:val="24"/>
          <w:szCs w:val="24"/>
        </w:rPr>
        <w:t>submitted on-time. The following late penalties will apply.</w:t>
      </w:r>
    </w:p>
    <w:p w14:paraId="3C9AA031" w14:textId="77777777" w:rsidR="00C6409D" w:rsidRDefault="00C6409D" w:rsidP="00C6409D">
      <w:pPr>
        <w:pStyle w:val="NoSpacing"/>
        <w:rPr>
          <w:rFonts w:ascii="Garamond" w:hAnsi="Garamond"/>
          <w:sz w:val="24"/>
          <w:szCs w:val="24"/>
          <w:u w:val="single"/>
        </w:rPr>
      </w:pPr>
    </w:p>
    <w:p w14:paraId="13005CF5" w14:textId="5B598F5F" w:rsidR="00C6409D" w:rsidRDefault="00C6409D" w:rsidP="00C6409D">
      <w:pPr>
        <w:pStyle w:val="NoSpacing"/>
        <w:rPr>
          <w:rFonts w:ascii="Garamond" w:hAnsi="Garamond"/>
          <w:sz w:val="24"/>
          <w:szCs w:val="24"/>
        </w:rPr>
      </w:pPr>
      <w:r>
        <w:rPr>
          <w:rFonts w:ascii="Garamond" w:hAnsi="Garamond"/>
          <w:sz w:val="24"/>
          <w:szCs w:val="24"/>
          <w:u w:val="single"/>
        </w:rPr>
        <w:t>Essays</w:t>
      </w:r>
      <w:r w:rsidR="00A76AD1">
        <w:rPr>
          <w:rFonts w:ascii="Garamond" w:hAnsi="Garamond"/>
          <w:sz w:val="24"/>
          <w:szCs w:val="24"/>
          <w:u w:val="single"/>
        </w:rPr>
        <w:t xml:space="preserve">, Quizzes, and Think </w:t>
      </w:r>
      <w:r w:rsidR="00652A61">
        <w:rPr>
          <w:rFonts w:ascii="Garamond" w:hAnsi="Garamond"/>
          <w:sz w:val="24"/>
          <w:szCs w:val="24"/>
          <w:u w:val="single"/>
        </w:rPr>
        <w:t>P</w:t>
      </w:r>
      <w:r w:rsidR="00A76AD1">
        <w:rPr>
          <w:rFonts w:ascii="Garamond" w:hAnsi="Garamond"/>
          <w:sz w:val="24"/>
          <w:szCs w:val="24"/>
          <w:u w:val="single"/>
        </w:rPr>
        <w:t>ieces</w:t>
      </w:r>
      <w:r>
        <w:rPr>
          <w:rFonts w:ascii="Garamond" w:hAnsi="Garamond"/>
          <w:sz w:val="24"/>
          <w:szCs w:val="24"/>
        </w:rPr>
        <w:t xml:space="preserve"> are due at the date and time listed in </w:t>
      </w:r>
      <w:proofErr w:type="spellStart"/>
      <w:r>
        <w:rPr>
          <w:rFonts w:ascii="Garamond" w:hAnsi="Garamond"/>
          <w:sz w:val="24"/>
          <w:szCs w:val="24"/>
        </w:rPr>
        <w:t>Webcampus</w:t>
      </w:r>
      <w:proofErr w:type="spellEnd"/>
      <w:r>
        <w:rPr>
          <w:rFonts w:ascii="Garamond" w:hAnsi="Garamond"/>
          <w:sz w:val="24"/>
          <w:szCs w:val="24"/>
        </w:rPr>
        <w:t xml:space="preserve"> and will be accepted late for up to one calendar week with the following penalties applied:</w:t>
      </w:r>
    </w:p>
    <w:p w14:paraId="0FFADEBA" w14:textId="77777777" w:rsidR="00C6409D" w:rsidRDefault="00C6409D" w:rsidP="00C6409D">
      <w:pPr>
        <w:pStyle w:val="NoSpacing"/>
        <w:rPr>
          <w:rFonts w:ascii="Garamond" w:hAnsi="Garamond"/>
          <w:sz w:val="24"/>
          <w:szCs w:val="24"/>
        </w:rPr>
      </w:pPr>
      <w:r>
        <w:rPr>
          <w:rFonts w:ascii="Garamond" w:hAnsi="Garamond"/>
          <w:sz w:val="24"/>
          <w:szCs w:val="24"/>
        </w:rPr>
        <w:tab/>
        <w:t>--10% penalty if submitted after 12pm on the calendar date:</w:t>
      </w:r>
    </w:p>
    <w:p w14:paraId="263F3022" w14:textId="77777777" w:rsidR="00C6409D" w:rsidRDefault="00C6409D" w:rsidP="00C6409D">
      <w:pPr>
        <w:pStyle w:val="NoSpacing"/>
        <w:rPr>
          <w:rFonts w:ascii="Garamond" w:hAnsi="Garamond"/>
          <w:sz w:val="24"/>
          <w:szCs w:val="24"/>
        </w:rPr>
      </w:pPr>
      <w:r>
        <w:rPr>
          <w:rFonts w:ascii="Garamond" w:hAnsi="Garamond"/>
          <w:sz w:val="24"/>
          <w:szCs w:val="24"/>
        </w:rPr>
        <w:tab/>
        <w:t>--An additional 10% penalty for each 24 hours late</w:t>
      </w:r>
    </w:p>
    <w:p w14:paraId="6126426B" w14:textId="77777777" w:rsidR="00C6409D" w:rsidRPr="00BE574B" w:rsidRDefault="00C6409D" w:rsidP="00C6409D">
      <w:pPr>
        <w:pStyle w:val="NoSpacing"/>
        <w:rPr>
          <w:rFonts w:ascii="Garamond" w:hAnsi="Garamond"/>
          <w:sz w:val="24"/>
          <w:szCs w:val="24"/>
        </w:rPr>
      </w:pPr>
      <w:r>
        <w:rPr>
          <w:rFonts w:ascii="Garamond" w:hAnsi="Garamond"/>
          <w:sz w:val="24"/>
          <w:szCs w:val="24"/>
        </w:rPr>
        <w:tab/>
        <w:t>--Not accepted for credit after the 7</w:t>
      </w:r>
      <w:r w:rsidRPr="00BE574B">
        <w:rPr>
          <w:rFonts w:ascii="Garamond" w:hAnsi="Garamond"/>
          <w:sz w:val="24"/>
          <w:szCs w:val="24"/>
          <w:vertAlign w:val="superscript"/>
        </w:rPr>
        <w:t>th</w:t>
      </w:r>
      <w:r>
        <w:rPr>
          <w:rFonts w:ascii="Garamond" w:hAnsi="Garamond"/>
          <w:sz w:val="24"/>
          <w:szCs w:val="24"/>
        </w:rPr>
        <w:t xml:space="preserve"> calendar day.</w:t>
      </w:r>
    </w:p>
    <w:p w14:paraId="13CEFA4F" w14:textId="77777777" w:rsidR="00C6409D" w:rsidRDefault="00C6409D" w:rsidP="00C6409D">
      <w:pPr>
        <w:pStyle w:val="NoSpacing"/>
        <w:rPr>
          <w:rFonts w:ascii="Garamond" w:hAnsi="Garamond"/>
          <w:sz w:val="24"/>
          <w:szCs w:val="24"/>
        </w:rPr>
      </w:pPr>
    </w:p>
    <w:p w14:paraId="066570B6" w14:textId="6D84C92D" w:rsidR="00C6409D" w:rsidRDefault="00C6409D" w:rsidP="00C6409D">
      <w:pPr>
        <w:pStyle w:val="NoSpacing"/>
        <w:rPr>
          <w:rFonts w:ascii="Garamond" w:hAnsi="Garamond"/>
          <w:sz w:val="24"/>
          <w:szCs w:val="24"/>
        </w:rPr>
      </w:pPr>
      <w:r w:rsidRPr="00755A7C">
        <w:rPr>
          <w:rFonts w:ascii="Garamond" w:hAnsi="Garamond"/>
          <w:sz w:val="24"/>
          <w:szCs w:val="24"/>
          <w:u w:val="single"/>
        </w:rPr>
        <w:t>Class Activities</w:t>
      </w:r>
      <w:r>
        <w:rPr>
          <w:rFonts w:ascii="Garamond" w:hAnsi="Garamond"/>
          <w:sz w:val="24"/>
          <w:szCs w:val="24"/>
        </w:rPr>
        <w:t xml:space="preserve">. </w:t>
      </w:r>
      <w:r w:rsidR="001626D8">
        <w:rPr>
          <w:rFonts w:ascii="Garamond" w:hAnsi="Garamond"/>
          <w:sz w:val="24"/>
          <w:szCs w:val="24"/>
        </w:rPr>
        <w:t xml:space="preserve">Activities will be completed in-class and submitted through </w:t>
      </w:r>
      <w:proofErr w:type="spellStart"/>
      <w:r w:rsidR="001626D8">
        <w:rPr>
          <w:rFonts w:ascii="Garamond" w:hAnsi="Garamond"/>
          <w:sz w:val="24"/>
          <w:szCs w:val="24"/>
        </w:rPr>
        <w:t>Webcampus</w:t>
      </w:r>
      <w:proofErr w:type="spellEnd"/>
      <w:r w:rsidR="00A76AD1">
        <w:rPr>
          <w:rFonts w:ascii="Garamond" w:hAnsi="Garamond"/>
          <w:sz w:val="24"/>
          <w:szCs w:val="24"/>
        </w:rPr>
        <w:t>.</w:t>
      </w:r>
      <w:r w:rsidR="001626D8">
        <w:rPr>
          <w:rFonts w:ascii="Garamond" w:hAnsi="Garamond"/>
          <w:sz w:val="24"/>
          <w:szCs w:val="24"/>
        </w:rPr>
        <w:t xml:space="preserve"> The easiest way to earn these points is to finish them in-class. To accommodate absent students, the activity (or an equivalent) will be left open in Canvas until 6AM Saturday. If you have not completed the activity by that time, your grade will become a “0.” If you are absent, it is your responsibility to check </w:t>
      </w:r>
      <w:proofErr w:type="spellStart"/>
      <w:r w:rsidR="001626D8">
        <w:rPr>
          <w:rFonts w:ascii="Garamond" w:hAnsi="Garamond"/>
          <w:sz w:val="24"/>
          <w:szCs w:val="24"/>
        </w:rPr>
        <w:t>Webcampus</w:t>
      </w:r>
      <w:proofErr w:type="spellEnd"/>
      <w:r w:rsidR="001626D8">
        <w:rPr>
          <w:rFonts w:ascii="Garamond" w:hAnsi="Garamond"/>
          <w:sz w:val="24"/>
          <w:szCs w:val="24"/>
        </w:rPr>
        <w:t xml:space="preserve"> to see if there was an activity. I will not track you down to remind you.</w:t>
      </w:r>
    </w:p>
    <w:p w14:paraId="7CA19895" w14:textId="77777777" w:rsidR="00C6409D" w:rsidRDefault="00C6409D" w:rsidP="00C6409D">
      <w:pPr>
        <w:pStyle w:val="NoSpacing"/>
        <w:rPr>
          <w:rFonts w:ascii="Garamond" w:hAnsi="Garamond"/>
          <w:sz w:val="24"/>
          <w:szCs w:val="24"/>
        </w:rPr>
      </w:pPr>
    </w:p>
    <w:p w14:paraId="5E677B3F" w14:textId="4C59D3E2" w:rsidR="00C6409D" w:rsidRPr="00305AC6" w:rsidRDefault="00C6409D" w:rsidP="00C6409D">
      <w:pPr>
        <w:pStyle w:val="NoSpacing"/>
        <w:rPr>
          <w:rFonts w:ascii="Garamond" w:hAnsi="Garamond"/>
          <w:sz w:val="24"/>
          <w:szCs w:val="24"/>
        </w:rPr>
      </w:pPr>
      <w:r w:rsidRPr="00E02CD8">
        <w:rPr>
          <w:rFonts w:ascii="Garamond" w:hAnsi="Garamond"/>
          <w:sz w:val="24"/>
          <w:szCs w:val="24"/>
          <w:u w:val="single"/>
        </w:rPr>
        <w:t>Note:</w:t>
      </w:r>
      <w:r>
        <w:rPr>
          <w:rFonts w:ascii="Garamond" w:hAnsi="Garamond"/>
          <w:sz w:val="24"/>
          <w:szCs w:val="24"/>
        </w:rPr>
        <w:t xml:space="preserve"> If a medical emergency prevents you from being able to complete an essay </w:t>
      </w:r>
      <w:r w:rsidR="00A76AD1">
        <w:rPr>
          <w:rFonts w:ascii="Garamond" w:hAnsi="Garamond"/>
          <w:sz w:val="24"/>
          <w:szCs w:val="24"/>
        </w:rPr>
        <w:t xml:space="preserve">or exam </w:t>
      </w:r>
      <w:r>
        <w:rPr>
          <w:rFonts w:ascii="Garamond" w:hAnsi="Garamond"/>
          <w:sz w:val="24"/>
          <w:szCs w:val="24"/>
        </w:rPr>
        <w:t xml:space="preserve">on-time, please contact me via email before the deadline to see if we can negotiate an extension. I reserve the right to request documentation of your circumstances. Extensions typically must be completed within 7 calendar days of the original deadline. I am serious that I expect you to contact me beforehand. Think of this as preparation for the workforce; if you were unable to attend work, you would contact your boss ahead of time to discuss possible options. </w:t>
      </w:r>
    </w:p>
    <w:p w14:paraId="38335CEC" w14:textId="77777777" w:rsidR="00C6409D" w:rsidRDefault="00C6409D" w:rsidP="00C6409D">
      <w:pPr>
        <w:pStyle w:val="NoSpacing"/>
        <w:rPr>
          <w:rFonts w:ascii="Garamond" w:hAnsi="Garamond"/>
          <w:sz w:val="24"/>
          <w:szCs w:val="24"/>
        </w:rPr>
      </w:pPr>
    </w:p>
    <w:p w14:paraId="2580932B" w14:textId="77777777" w:rsidR="00C6409D" w:rsidRDefault="00C6409D" w:rsidP="00C6409D">
      <w:pPr>
        <w:pStyle w:val="NoSpacing"/>
        <w:rPr>
          <w:rFonts w:ascii="Garamond" w:hAnsi="Garamond"/>
          <w:b/>
          <w:bCs/>
          <w:sz w:val="24"/>
          <w:szCs w:val="24"/>
        </w:rPr>
      </w:pPr>
      <w:r w:rsidRPr="00706A5D">
        <w:rPr>
          <w:rFonts w:ascii="Garamond" w:hAnsi="Garamond"/>
          <w:b/>
          <w:bCs/>
          <w:sz w:val="24"/>
          <w:szCs w:val="24"/>
        </w:rPr>
        <w:t>File Formats</w:t>
      </w:r>
      <w:r>
        <w:rPr>
          <w:rFonts w:ascii="Garamond" w:hAnsi="Garamond"/>
          <w:b/>
          <w:bCs/>
          <w:sz w:val="24"/>
          <w:szCs w:val="24"/>
        </w:rPr>
        <w:t xml:space="preserve"> for Assignment Submissions.</w:t>
      </w:r>
    </w:p>
    <w:p w14:paraId="509A8C65" w14:textId="77777777" w:rsidR="00C6409D" w:rsidRDefault="00C6409D" w:rsidP="00C6409D">
      <w:pPr>
        <w:pStyle w:val="NoSpacing"/>
        <w:rPr>
          <w:rFonts w:ascii="Garamond" w:hAnsi="Garamond"/>
          <w:b/>
          <w:bCs/>
          <w:sz w:val="24"/>
          <w:szCs w:val="24"/>
        </w:rPr>
      </w:pPr>
    </w:p>
    <w:p w14:paraId="5408EC3C" w14:textId="13F79163" w:rsidR="00C6409D" w:rsidRDefault="00652A61" w:rsidP="00C6409D">
      <w:pPr>
        <w:pStyle w:val="NoSpacing"/>
        <w:rPr>
          <w:rFonts w:ascii="Garamond" w:hAnsi="Garamond"/>
          <w:sz w:val="24"/>
          <w:szCs w:val="24"/>
        </w:rPr>
      </w:pPr>
      <w:r>
        <w:rPr>
          <w:rFonts w:ascii="Garamond" w:hAnsi="Garamond"/>
          <w:sz w:val="24"/>
          <w:szCs w:val="24"/>
        </w:rPr>
        <w:t>Think Pieces</w:t>
      </w:r>
      <w:r w:rsidR="00C6409D">
        <w:rPr>
          <w:rFonts w:ascii="Garamond" w:hAnsi="Garamond"/>
          <w:sz w:val="24"/>
          <w:szCs w:val="24"/>
        </w:rPr>
        <w:t xml:space="preserve"> should be typed directly into </w:t>
      </w:r>
      <w:proofErr w:type="spellStart"/>
      <w:r w:rsidR="00C6409D">
        <w:rPr>
          <w:rFonts w:ascii="Garamond" w:hAnsi="Garamond"/>
          <w:sz w:val="24"/>
          <w:szCs w:val="24"/>
        </w:rPr>
        <w:t>Webcampus</w:t>
      </w:r>
      <w:proofErr w:type="spellEnd"/>
      <w:r w:rsidR="00C6409D">
        <w:rPr>
          <w:rFonts w:ascii="Garamond" w:hAnsi="Garamond"/>
          <w:sz w:val="24"/>
          <w:szCs w:val="24"/>
        </w:rPr>
        <w:t xml:space="preserve">. This speeds up grading for me. </w:t>
      </w:r>
    </w:p>
    <w:p w14:paraId="755BA910" w14:textId="77777777" w:rsidR="00C6409D" w:rsidRPr="00A06D5F" w:rsidRDefault="00C6409D" w:rsidP="00C6409D">
      <w:pPr>
        <w:pStyle w:val="NoSpacing"/>
        <w:rPr>
          <w:rFonts w:ascii="Garamond" w:hAnsi="Garamond"/>
          <w:sz w:val="24"/>
          <w:szCs w:val="24"/>
        </w:rPr>
      </w:pPr>
    </w:p>
    <w:p w14:paraId="5871C0E6" w14:textId="77777777" w:rsidR="00C6409D" w:rsidRDefault="00C6409D" w:rsidP="00C6409D">
      <w:pPr>
        <w:pStyle w:val="NoSpacing"/>
        <w:rPr>
          <w:rFonts w:ascii="Garamond" w:hAnsi="Garamond"/>
          <w:sz w:val="24"/>
          <w:szCs w:val="24"/>
        </w:rPr>
      </w:pPr>
      <w:r>
        <w:rPr>
          <w:rFonts w:ascii="Garamond" w:hAnsi="Garamond"/>
          <w:sz w:val="24"/>
          <w:szCs w:val="24"/>
        </w:rPr>
        <w:lastRenderedPageBreak/>
        <w:t xml:space="preserve">Essays should be submitted in PDF format. This reduces file errors and is the file format that works most consistently with the </w:t>
      </w:r>
      <w:proofErr w:type="spellStart"/>
      <w:r>
        <w:rPr>
          <w:rFonts w:ascii="Garamond" w:hAnsi="Garamond"/>
          <w:sz w:val="24"/>
          <w:szCs w:val="24"/>
        </w:rPr>
        <w:t>Webcampus</w:t>
      </w:r>
      <w:proofErr w:type="spellEnd"/>
      <w:r>
        <w:rPr>
          <w:rFonts w:ascii="Garamond" w:hAnsi="Garamond"/>
          <w:sz w:val="24"/>
          <w:szCs w:val="24"/>
        </w:rPr>
        <w:t xml:space="preserve"> system.</w:t>
      </w:r>
    </w:p>
    <w:p w14:paraId="1F021B96" w14:textId="77777777" w:rsidR="00C6409D" w:rsidRPr="005714EE" w:rsidRDefault="00C6409D" w:rsidP="00C6409D">
      <w:pPr>
        <w:pStyle w:val="NoSpacing"/>
        <w:rPr>
          <w:rFonts w:ascii="Garamond" w:hAnsi="Garamond"/>
          <w:sz w:val="24"/>
          <w:szCs w:val="24"/>
        </w:rPr>
      </w:pPr>
    </w:p>
    <w:p w14:paraId="2EE90FC7" w14:textId="77777777" w:rsidR="00C6409D" w:rsidRPr="00003F3B" w:rsidRDefault="00C6409D" w:rsidP="00C6409D">
      <w:pPr>
        <w:pStyle w:val="Heading3"/>
        <w:rPr>
          <w:rFonts w:ascii="Garamond" w:hAnsi="Garamond"/>
          <w:b/>
          <w:bCs/>
          <w:color w:val="auto"/>
        </w:rPr>
      </w:pPr>
      <w:r w:rsidRPr="00003F3B">
        <w:rPr>
          <w:rFonts w:ascii="Garamond" w:hAnsi="Garamond"/>
          <w:b/>
          <w:bCs/>
          <w:color w:val="auto"/>
        </w:rPr>
        <w:t>Policy on Assignment Re-Scores</w:t>
      </w:r>
      <w:bookmarkStart w:id="0" w:name="_Hlk17648353"/>
    </w:p>
    <w:p w14:paraId="3E0F074E" w14:textId="77777777" w:rsidR="00C6409D" w:rsidRPr="00003F3B" w:rsidRDefault="00C6409D" w:rsidP="00C6409D">
      <w:pPr>
        <w:pStyle w:val="NoSpacing"/>
        <w:rPr>
          <w:sz w:val="24"/>
          <w:szCs w:val="24"/>
        </w:rPr>
      </w:pPr>
    </w:p>
    <w:p w14:paraId="61981626" w14:textId="1B915025" w:rsidR="00C6409D" w:rsidRDefault="00C6409D" w:rsidP="00C6409D">
      <w:pPr>
        <w:rPr>
          <w:rFonts w:ascii="Garamond" w:hAnsi="Garamond" w:cstheme="minorHAnsi"/>
        </w:rPr>
      </w:pPr>
      <w:r w:rsidRPr="00003F3B">
        <w:rPr>
          <w:rFonts w:ascii="Garamond" w:hAnsi="Garamond" w:cstheme="minorHAnsi"/>
        </w:rPr>
        <w:t xml:space="preserve">If you believe that an assignment or exam has been graded in a manner that is inconsistent with assignment guidelines, it is your right to request that your score be re-considered. Within 7 days of the assignment’s return, prepare a typed memo of approximately 1-2 paragraphs that details the reason you are requesting reconsideration. The memo should include supporting evidence from the assignment guidelines, rubric, course lecture notes, readings, etc. that shows how you met the assignment requirements. Once you have finished your memo, please email it to me. I will respond to you in writing within 72 hours. </w:t>
      </w:r>
      <w:bookmarkEnd w:id="0"/>
    </w:p>
    <w:p w14:paraId="30BC525D" w14:textId="77777777" w:rsidR="00652A61" w:rsidRPr="005714EE" w:rsidRDefault="00652A61" w:rsidP="00C6409D">
      <w:pPr>
        <w:rPr>
          <w:rFonts w:ascii="Garamond" w:hAnsi="Garamond" w:cstheme="minorHAnsi"/>
        </w:rPr>
      </w:pPr>
    </w:p>
    <w:p w14:paraId="0505C6CA" w14:textId="5027344D" w:rsidR="00C6409D" w:rsidRDefault="00C6409D" w:rsidP="00652A61">
      <w:pPr>
        <w:pStyle w:val="Heading2"/>
        <w:jc w:val="center"/>
        <w:rPr>
          <w:rFonts w:ascii="Garamond" w:hAnsi="Garamond"/>
          <w:b/>
          <w:bCs/>
          <w:color w:val="auto"/>
          <w:sz w:val="24"/>
          <w:szCs w:val="24"/>
        </w:rPr>
      </w:pPr>
      <w:r w:rsidRPr="00003F3B">
        <w:rPr>
          <w:rFonts w:ascii="Garamond" w:hAnsi="Garamond"/>
          <w:b/>
          <w:bCs/>
          <w:color w:val="auto"/>
          <w:sz w:val="24"/>
          <w:szCs w:val="24"/>
        </w:rPr>
        <w:t>University Policies</w:t>
      </w:r>
    </w:p>
    <w:p w14:paraId="0B0E3E26" w14:textId="77777777" w:rsidR="00652A61" w:rsidRPr="00652A61" w:rsidRDefault="00652A61" w:rsidP="00652A61"/>
    <w:p w14:paraId="49A7E01D" w14:textId="77777777" w:rsidR="00C6409D" w:rsidRPr="00003F3B" w:rsidRDefault="00C6409D" w:rsidP="00C6409D">
      <w:pPr>
        <w:pStyle w:val="Heading3"/>
        <w:rPr>
          <w:rFonts w:ascii="Garamond" w:hAnsi="Garamond"/>
          <w:b/>
          <w:bCs/>
          <w:color w:val="auto"/>
        </w:rPr>
      </w:pPr>
      <w:r w:rsidRPr="00003F3B">
        <w:rPr>
          <w:rFonts w:ascii="Garamond" w:hAnsi="Garamond"/>
          <w:b/>
          <w:bCs/>
          <w:color w:val="auto"/>
        </w:rPr>
        <w:t xml:space="preserve">Policy on Academic Integrity </w:t>
      </w:r>
    </w:p>
    <w:p w14:paraId="484DA33C" w14:textId="77777777" w:rsidR="00C6409D" w:rsidRPr="00003F3B" w:rsidRDefault="00C6409D" w:rsidP="00C6409D">
      <w:pPr>
        <w:pStyle w:val="NoSpacing"/>
        <w:rPr>
          <w:sz w:val="24"/>
          <w:szCs w:val="24"/>
        </w:rPr>
      </w:pPr>
    </w:p>
    <w:p w14:paraId="657C0172" w14:textId="2955C837" w:rsidR="00C6409D" w:rsidRDefault="00C6409D" w:rsidP="00C6409D">
      <w:pPr>
        <w:rPr>
          <w:rFonts w:ascii="Garamond" w:hAnsi="Garamond" w:cstheme="minorHAnsi"/>
          <w:shd w:val="clear" w:color="auto" w:fill="FFFFFF"/>
        </w:rPr>
      </w:pPr>
      <w:r w:rsidRPr="00003F3B">
        <w:rPr>
          <w:rFonts w:ascii="Garamond" w:hAnsi="Garamond"/>
        </w:rPr>
        <w:t xml:space="preserve">The University Academic Standards Policy defines academic dishonesty, and mandates specific sanctions for violations. See the University Academic Standards policy: </w:t>
      </w:r>
      <w:hyperlink r:id="rId7" w:tgtFrame="_blank" w:tooltip="UAM Academic Standards Policy" w:history="1">
        <w:r w:rsidRPr="00003F3B">
          <w:rPr>
            <w:rStyle w:val="Hyperlink"/>
            <w:rFonts w:ascii="Garamond" w:hAnsi="Garamond"/>
          </w:rPr>
          <w:t>UAM 6,502.</w:t>
        </w:r>
      </w:hyperlink>
      <w:r w:rsidRPr="00003F3B">
        <w:rPr>
          <w:rFonts w:ascii="Garamond" w:hAnsi="Garamond"/>
        </w:rPr>
        <w:t xml:space="preserve"> </w:t>
      </w:r>
      <w:r w:rsidRPr="00003F3B">
        <w:rPr>
          <w:rFonts w:ascii="Garamond" w:hAnsi="Garamond" w:cstheme="minorHAnsi"/>
        </w:rPr>
        <w:t>According to this policy, “</w:t>
      </w:r>
      <w:r w:rsidRPr="00003F3B">
        <w:rPr>
          <w:rFonts w:ascii="Garamond" w:hAnsi="Garamond" w:cstheme="minorHAnsi"/>
          <w:shd w:val="clear" w:color="auto" w:fill="FFFFFF"/>
        </w:rPr>
        <w:t>A student may receive academic and</w:t>
      </w:r>
      <w:r w:rsidRPr="00003F3B">
        <w:rPr>
          <w:rFonts w:ascii="Garamond" w:hAnsi="Garamond" w:cstheme="minorHAnsi"/>
          <w:shd w:val="clear" w:color="auto" w:fill="FFFFFF"/>
        </w:rPr>
        <w:softHyphen/>
      </w:r>
      <w:r w:rsidRPr="00003F3B">
        <w:rPr>
          <w:rFonts w:ascii="Garamond" w:hAnsi="Garamond" w:cstheme="minorHAnsi"/>
          <w:shd w:val="clear" w:color="auto" w:fill="FFFFFF"/>
        </w:rPr>
        <w:softHyphen/>
      </w:r>
      <w:r w:rsidRPr="00003F3B">
        <w:rPr>
          <w:rFonts w:ascii="Garamond" w:hAnsi="Garamond" w:cstheme="minorHAnsi"/>
          <w:shd w:val="clear" w:color="auto" w:fill="FFFFFF"/>
        </w:rPr>
        <w:softHyphen/>
      </w:r>
      <w:r w:rsidRPr="00003F3B">
        <w:rPr>
          <w:rFonts w:ascii="Garamond" w:hAnsi="Garamond" w:cstheme="minorHAnsi"/>
          <w:shd w:val="clear" w:color="auto" w:fill="FFFFFF"/>
        </w:rPr>
        <w:softHyphen/>
      </w:r>
      <w:r w:rsidRPr="00003F3B">
        <w:rPr>
          <w:rFonts w:ascii="Garamond" w:hAnsi="Garamond" w:cstheme="minorHAnsi"/>
          <w:shd w:val="clear" w:color="auto" w:fill="FFFFFF"/>
        </w:rPr>
        <w:softHyphen/>
        <w:t xml:space="preserve"> disciplinary sanctions for cheating, plagiarism or other attempts to obtain or earn grades under false pretenses.” </w:t>
      </w:r>
    </w:p>
    <w:p w14:paraId="5AEEB301" w14:textId="77777777" w:rsidR="00A76AD1" w:rsidRPr="00003F3B" w:rsidRDefault="00A76AD1" w:rsidP="00C6409D">
      <w:pPr>
        <w:rPr>
          <w:rFonts w:ascii="Garamond" w:hAnsi="Garamond" w:cstheme="minorHAnsi"/>
          <w:shd w:val="clear" w:color="auto" w:fill="FFFFFF"/>
        </w:rPr>
      </w:pPr>
    </w:p>
    <w:p w14:paraId="61506BA5" w14:textId="77777777" w:rsidR="00C6409D" w:rsidRPr="00003F3B" w:rsidRDefault="00C6409D" w:rsidP="00C6409D">
      <w:pPr>
        <w:rPr>
          <w:rFonts w:ascii="Garamond" w:hAnsi="Garamond" w:cstheme="minorHAnsi"/>
        </w:rPr>
      </w:pPr>
      <w:r w:rsidRPr="00003F3B">
        <w:rPr>
          <w:rFonts w:ascii="Garamond" w:hAnsi="Garamond" w:cstheme="minorHAnsi"/>
          <w:shd w:val="clear" w:color="auto" w:fill="FFFFFF"/>
        </w:rPr>
        <w:t xml:space="preserve">Example of academic dishonesty include, but are not necessarily limited to: </w:t>
      </w:r>
      <w:r w:rsidRPr="00540C70">
        <w:rPr>
          <w:rFonts w:ascii="Garamond" w:hAnsi="Garamond" w:cstheme="minorHAnsi"/>
          <w:shd w:val="clear" w:color="auto" w:fill="FFFFFF"/>
        </w:rPr>
        <w:t>copying/pasting text from a website or published source without appropriate attribution, copying answers from another student, falsifying data, submitting a paper in multiple classes without written permission from both instructors, submitting work completed by another student, hiring someone else to complete your work for you, or lying to the instructor to leverage an unfair advantage.</w:t>
      </w:r>
    </w:p>
    <w:p w14:paraId="0D8C7775" w14:textId="77777777" w:rsidR="00A76AD1" w:rsidRDefault="00A76AD1" w:rsidP="00C6409D">
      <w:pPr>
        <w:rPr>
          <w:rFonts w:ascii="Garamond" w:hAnsi="Garamond"/>
        </w:rPr>
      </w:pPr>
    </w:p>
    <w:p w14:paraId="653E9518" w14:textId="12562314" w:rsidR="00C6409D" w:rsidRPr="00003F3B" w:rsidRDefault="00C6409D" w:rsidP="00C6409D">
      <w:pPr>
        <w:rPr>
          <w:rFonts w:ascii="Garamond" w:hAnsi="Garamond"/>
        </w:rPr>
      </w:pPr>
      <w:r w:rsidRPr="00003F3B">
        <w:rPr>
          <w:rFonts w:ascii="Garamond" w:hAnsi="Garamond"/>
        </w:rPr>
        <w:t xml:space="preserve">Depending on the severity of the offense, penalties for academic dishonesty may include (but are not limited to): </w:t>
      </w:r>
    </w:p>
    <w:p w14:paraId="2CEAB919" w14:textId="77777777" w:rsidR="00C6409D" w:rsidRPr="00003F3B" w:rsidRDefault="00C6409D" w:rsidP="00C6409D">
      <w:pPr>
        <w:pStyle w:val="ListParagraph"/>
        <w:numPr>
          <w:ilvl w:val="0"/>
          <w:numId w:val="6"/>
        </w:numPr>
        <w:spacing w:after="160" w:line="256" w:lineRule="auto"/>
        <w:rPr>
          <w:rFonts w:ascii="Garamond" w:hAnsi="Garamond"/>
          <w:sz w:val="24"/>
          <w:szCs w:val="24"/>
        </w:rPr>
      </w:pPr>
      <w:r w:rsidRPr="00003F3B">
        <w:rPr>
          <w:rFonts w:ascii="Garamond" w:hAnsi="Garamond"/>
          <w:sz w:val="24"/>
          <w:szCs w:val="24"/>
        </w:rPr>
        <w:t>A requirement that you retake an exam or resubmit an assignment;</w:t>
      </w:r>
    </w:p>
    <w:p w14:paraId="43CBC5D4" w14:textId="77777777" w:rsidR="00C6409D" w:rsidRPr="00003F3B" w:rsidRDefault="00C6409D" w:rsidP="00C6409D">
      <w:pPr>
        <w:pStyle w:val="ListParagraph"/>
        <w:numPr>
          <w:ilvl w:val="0"/>
          <w:numId w:val="6"/>
        </w:numPr>
        <w:spacing w:after="160" w:line="256" w:lineRule="auto"/>
        <w:rPr>
          <w:rFonts w:ascii="Garamond" w:hAnsi="Garamond"/>
          <w:sz w:val="24"/>
          <w:szCs w:val="24"/>
        </w:rPr>
      </w:pPr>
      <w:r w:rsidRPr="00003F3B">
        <w:rPr>
          <w:rFonts w:ascii="Garamond" w:hAnsi="Garamond"/>
          <w:sz w:val="24"/>
          <w:szCs w:val="24"/>
        </w:rPr>
        <w:t>A grade of “0” on an assignment or exam without the opportunity to resubmit;</w:t>
      </w:r>
    </w:p>
    <w:p w14:paraId="7B71365F" w14:textId="77777777" w:rsidR="00C6409D" w:rsidRPr="00003F3B" w:rsidRDefault="00C6409D" w:rsidP="00C6409D">
      <w:pPr>
        <w:pStyle w:val="ListParagraph"/>
        <w:numPr>
          <w:ilvl w:val="0"/>
          <w:numId w:val="6"/>
        </w:numPr>
        <w:spacing w:after="160" w:line="256" w:lineRule="auto"/>
        <w:rPr>
          <w:rFonts w:ascii="Garamond" w:hAnsi="Garamond"/>
          <w:sz w:val="24"/>
          <w:szCs w:val="24"/>
        </w:rPr>
      </w:pPr>
      <w:r w:rsidRPr="00003F3B">
        <w:rPr>
          <w:rFonts w:ascii="Garamond" w:hAnsi="Garamond"/>
          <w:sz w:val="24"/>
          <w:szCs w:val="24"/>
        </w:rPr>
        <w:t xml:space="preserve">Reduction of your course grade by one or more letter grade; </w:t>
      </w:r>
    </w:p>
    <w:p w14:paraId="413FCAFB" w14:textId="77777777" w:rsidR="00C6409D" w:rsidRPr="00003F3B" w:rsidRDefault="00C6409D" w:rsidP="00C6409D">
      <w:pPr>
        <w:pStyle w:val="ListParagraph"/>
        <w:numPr>
          <w:ilvl w:val="0"/>
          <w:numId w:val="6"/>
        </w:numPr>
        <w:spacing w:after="160" w:line="256" w:lineRule="auto"/>
        <w:rPr>
          <w:rFonts w:ascii="Garamond" w:hAnsi="Garamond"/>
          <w:sz w:val="24"/>
          <w:szCs w:val="24"/>
        </w:rPr>
      </w:pPr>
      <w:r w:rsidRPr="00003F3B">
        <w:rPr>
          <w:rFonts w:ascii="Garamond" w:hAnsi="Garamond"/>
          <w:sz w:val="24"/>
          <w:szCs w:val="24"/>
        </w:rPr>
        <w:t>A grade of “F” in the course.</w:t>
      </w:r>
    </w:p>
    <w:p w14:paraId="475ACB63" w14:textId="77777777" w:rsidR="00C6409D" w:rsidRPr="00003F3B" w:rsidRDefault="00C6409D" w:rsidP="00C6409D">
      <w:pPr>
        <w:pStyle w:val="ListParagraph"/>
        <w:numPr>
          <w:ilvl w:val="0"/>
          <w:numId w:val="6"/>
        </w:numPr>
        <w:spacing w:after="160" w:line="256" w:lineRule="auto"/>
        <w:rPr>
          <w:rFonts w:ascii="Garamond" w:hAnsi="Garamond"/>
          <w:sz w:val="24"/>
          <w:szCs w:val="24"/>
        </w:rPr>
      </w:pPr>
      <w:r w:rsidRPr="00003F3B">
        <w:rPr>
          <w:rFonts w:ascii="Garamond" w:hAnsi="Garamond"/>
          <w:sz w:val="24"/>
          <w:szCs w:val="24"/>
        </w:rPr>
        <w:t xml:space="preserve">Suspension or expulsion from the university. </w:t>
      </w:r>
    </w:p>
    <w:p w14:paraId="01396465" w14:textId="77777777" w:rsidR="00C6409D" w:rsidRPr="00003F3B" w:rsidRDefault="00C6409D" w:rsidP="00C6409D">
      <w:pPr>
        <w:pStyle w:val="Heading3"/>
        <w:rPr>
          <w:rFonts w:ascii="Garamond" w:hAnsi="Garamond"/>
          <w:b/>
          <w:bCs/>
          <w:color w:val="auto"/>
        </w:rPr>
      </w:pPr>
      <w:r w:rsidRPr="00003F3B">
        <w:rPr>
          <w:rFonts w:ascii="Garamond" w:hAnsi="Garamond"/>
          <w:b/>
          <w:bCs/>
          <w:color w:val="auto"/>
        </w:rPr>
        <w:t>Statement of Disability Services</w:t>
      </w:r>
    </w:p>
    <w:p w14:paraId="11CD187D" w14:textId="77777777" w:rsidR="00C6409D" w:rsidRPr="00003F3B" w:rsidRDefault="00C6409D" w:rsidP="00C6409D">
      <w:pPr>
        <w:pStyle w:val="NoSpacing"/>
        <w:rPr>
          <w:rFonts w:ascii="Garamond" w:hAnsi="Garamond"/>
          <w:sz w:val="24"/>
          <w:szCs w:val="24"/>
        </w:rPr>
      </w:pPr>
    </w:p>
    <w:p w14:paraId="043123D2" w14:textId="77777777" w:rsidR="00C6409D" w:rsidRDefault="00C6409D" w:rsidP="00C6409D">
      <w:pPr>
        <w:pStyle w:val="NoSpacing"/>
        <w:rPr>
          <w:rFonts w:ascii="Garamond" w:hAnsi="Garamond"/>
          <w:sz w:val="24"/>
          <w:szCs w:val="24"/>
        </w:rPr>
      </w:pPr>
      <w:r w:rsidRPr="00003F3B">
        <w:rPr>
          <w:rFonts w:ascii="Garamond" w:hAnsi="Garamond"/>
          <w:sz w:val="24"/>
          <w:szCs w:val="24"/>
        </w:rPr>
        <w:t>Any student with a disability needing academic adjustments or accommodations is requested to speak with the Disability Resource Center (Pennington Student Achievement Center, Suite 230) as soon as possible to arrange for appropriate accommodations.</w:t>
      </w:r>
    </w:p>
    <w:p w14:paraId="6C37D4F0" w14:textId="77777777" w:rsidR="00C6409D" w:rsidRDefault="00C6409D" w:rsidP="00C6409D">
      <w:pPr>
        <w:pStyle w:val="NoSpacing"/>
        <w:rPr>
          <w:rFonts w:ascii="Garamond" w:hAnsi="Garamond"/>
          <w:sz w:val="24"/>
          <w:szCs w:val="24"/>
        </w:rPr>
      </w:pPr>
    </w:p>
    <w:p w14:paraId="34F0F2BD" w14:textId="77777777" w:rsidR="00C6409D" w:rsidRPr="00533D4F" w:rsidRDefault="00C6409D" w:rsidP="00C6409D">
      <w:pPr>
        <w:pStyle w:val="NoSpacing"/>
        <w:rPr>
          <w:rFonts w:ascii="Garamond" w:hAnsi="Garamond"/>
          <w:b/>
          <w:bCs/>
          <w:sz w:val="24"/>
          <w:szCs w:val="24"/>
        </w:rPr>
      </w:pPr>
      <w:r w:rsidRPr="00533D4F">
        <w:rPr>
          <w:rFonts w:ascii="Garamond" w:hAnsi="Garamond"/>
          <w:b/>
          <w:bCs/>
          <w:sz w:val="24"/>
          <w:szCs w:val="24"/>
        </w:rPr>
        <w:t>Policy on Animals in the Classroom</w:t>
      </w:r>
    </w:p>
    <w:p w14:paraId="1A9CFBFA" w14:textId="77777777" w:rsidR="00C6409D" w:rsidRDefault="00C6409D" w:rsidP="00C6409D">
      <w:pPr>
        <w:pStyle w:val="NoSpacing"/>
        <w:rPr>
          <w:rFonts w:ascii="Garamond" w:hAnsi="Garamond"/>
          <w:sz w:val="24"/>
          <w:szCs w:val="24"/>
        </w:rPr>
      </w:pPr>
    </w:p>
    <w:p w14:paraId="137B6BF5" w14:textId="77777777" w:rsidR="00C6409D" w:rsidRPr="00933856" w:rsidRDefault="00C6409D" w:rsidP="00C6409D">
      <w:pPr>
        <w:rPr>
          <w:rFonts w:ascii="Garamond" w:eastAsia="Times New Roman" w:hAnsi="Garamond" w:cs="Times New Roman"/>
        </w:rPr>
      </w:pPr>
      <w:r w:rsidRPr="00933856">
        <w:rPr>
          <w:rFonts w:ascii="Garamond" w:hAnsi="Garamond"/>
        </w:rPr>
        <w:t xml:space="preserve">Only ADA service animals are allowed in the classroom. Please be aware that the </w:t>
      </w:r>
      <w:hyperlink r:id="rId8" w:history="1">
        <w:r w:rsidRPr="00BE574B">
          <w:rPr>
            <w:rStyle w:val="Hyperlink"/>
            <w:rFonts w:ascii="Garamond" w:hAnsi="Garamond"/>
          </w:rPr>
          <w:t>University Administrative Manual section 5,470</w:t>
        </w:r>
      </w:hyperlink>
      <w:r w:rsidRPr="00933856">
        <w:rPr>
          <w:rFonts w:ascii="Garamond" w:hAnsi="Garamond"/>
        </w:rPr>
        <w:t xml:space="preserve"> states: “</w:t>
      </w:r>
      <w:r w:rsidRPr="00933856">
        <w:rPr>
          <w:rFonts w:ascii="Garamond" w:eastAsia="Times New Roman" w:hAnsi="Garamond" w:cs="Arial"/>
          <w:color w:val="3A3B3E"/>
          <w:shd w:val="clear" w:color="auto" w:fill="FFFFFF"/>
        </w:rPr>
        <w:t xml:space="preserve">An emotional support animal does not meet the definition of a service animal under the ADA. An emotional support animal is permitted only in </w:t>
      </w:r>
      <w:r w:rsidRPr="00933856">
        <w:rPr>
          <w:rFonts w:ascii="Garamond" w:eastAsia="Times New Roman" w:hAnsi="Garamond" w:cs="Arial"/>
          <w:color w:val="3A3B3E"/>
          <w:shd w:val="clear" w:color="auto" w:fill="FFFFFF"/>
        </w:rPr>
        <w:lastRenderedPageBreak/>
        <w:t>dwelling units and only after approval by the Disability Resource Center</w:t>
      </w:r>
      <w:r w:rsidRPr="00933856">
        <w:rPr>
          <w:rFonts w:ascii="Garamond" w:hAnsi="Garamond"/>
        </w:rPr>
        <w:t xml:space="preserve">.” If you have further questions or concerns about this policy, please contact the Disability Resource Center at </w:t>
      </w:r>
      <w:hyperlink r:id="rId9" w:history="1">
        <w:r w:rsidRPr="00933856">
          <w:rPr>
            <w:rStyle w:val="Hyperlink"/>
            <w:rFonts w:ascii="Garamond" w:hAnsi="Garamond"/>
          </w:rPr>
          <w:t>DRC@unr.edu</w:t>
        </w:r>
      </w:hyperlink>
      <w:r w:rsidRPr="00933856">
        <w:rPr>
          <w:rFonts w:ascii="Garamond" w:hAnsi="Garamond"/>
        </w:rPr>
        <w:t>.</w:t>
      </w:r>
      <w:r w:rsidRPr="00933856">
        <w:rPr>
          <w:rFonts w:ascii="Garamond" w:hAnsi="Garamond"/>
        </w:rPr>
        <w:softHyphen/>
      </w:r>
      <w:r w:rsidRPr="00933856">
        <w:rPr>
          <w:rFonts w:ascii="Garamond" w:hAnsi="Garamond"/>
        </w:rPr>
        <w:softHyphen/>
      </w:r>
      <w:r w:rsidRPr="00933856">
        <w:rPr>
          <w:rFonts w:ascii="Garamond" w:hAnsi="Garamond"/>
        </w:rPr>
        <w:softHyphen/>
      </w:r>
    </w:p>
    <w:p w14:paraId="123C8B0C" w14:textId="77777777" w:rsidR="00A76AD1" w:rsidRDefault="00A76AD1" w:rsidP="00C6409D">
      <w:pPr>
        <w:pStyle w:val="Heading3"/>
        <w:rPr>
          <w:rFonts w:ascii="Garamond" w:hAnsi="Garamond"/>
          <w:b/>
          <w:bCs/>
          <w:color w:val="auto"/>
        </w:rPr>
      </w:pPr>
    </w:p>
    <w:p w14:paraId="00E94A15" w14:textId="60CF7807" w:rsidR="00C6409D" w:rsidRPr="00003F3B" w:rsidRDefault="00C6409D" w:rsidP="00C6409D">
      <w:pPr>
        <w:pStyle w:val="Heading3"/>
        <w:rPr>
          <w:rFonts w:ascii="Garamond" w:hAnsi="Garamond"/>
          <w:b/>
          <w:bCs/>
          <w:color w:val="auto"/>
        </w:rPr>
      </w:pPr>
      <w:r w:rsidRPr="00003F3B">
        <w:rPr>
          <w:rFonts w:ascii="Garamond" w:hAnsi="Garamond"/>
          <w:b/>
          <w:bCs/>
          <w:color w:val="auto"/>
        </w:rPr>
        <w:t>Academic Success Services</w:t>
      </w:r>
    </w:p>
    <w:p w14:paraId="10CBC453" w14:textId="77777777" w:rsidR="00C6409D" w:rsidRPr="00003F3B" w:rsidRDefault="00C6409D" w:rsidP="00C6409D">
      <w:pPr>
        <w:pStyle w:val="NoSpacing"/>
        <w:rPr>
          <w:rFonts w:ascii="Garamond" w:hAnsi="Garamond" w:cs="Arial"/>
          <w:sz w:val="24"/>
          <w:szCs w:val="24"/>
          <w:lang w:val="en"/>
        </w:rPr>
      </w:pPr>
    </w:p>
    <w:p w14:paraId="74375C92" w14:textId="77777777" w:rsidR="00C6409D" w:rsidRPr="00003F3B" w:rsidRDefault="00C6409D" w:rsidP="00C6409D">
      <w:pPr>
        <w:pStyle w:val="NoSpacing"/>
        <w:rPr>
          <w:rFonts w:ascii="Garamond" w:hAnsi="Garamond"/>
          <w:sz w:val="24"/>
          <w:szCs w:val="24"/>
        </w:rPr>
      </w:pPr>
      <w:r w:rsidRPr="00003F3B">
        <w:rPr>
          <w:rFonts w:ascii="Garamond" w:hAnsi="Garamond" w:cs="Arial"/>
          <w:sz w:val="24"/>
          <w:szCs w:val="24"/>
          <w:lang w:val="en"/>
        </w:rPr>
        <w:t xml:space="preserve">Your student fees cover usage of the </w:t>
      </w:r>
      <w:hyperlink r:id="rId10" w:history="1">
        <w:r w:rsidRPr="00003F3B">
          <w:rPr>
            <w:rStyle w:val="Hyperlink"/>
            <w:rFonts w:ascii="Garamond" w:hAnsi="Garamond" w:cs="Arial"/>
            <w:sz w:val="24"/>
            <w:szCs w:val="24"/>
            <w:lang w:val="en"/>
          </w:rPr>
          <w:t>Math Center</w:t>
        </w:r>
      </w:hyperlink>
      <w:r w:rsidRPr="00003F3B">
        <w:rPr>
          <w:rFonts w:ascii="Garamond" w:hAnsi="Garamond" w:cs="Arial"/>
          <w:sz w:val="24"/>
          <w:szCs w:val="24"/>
          <w:lang w:val="en"/>
        </w:rPr>
        <w:t xml:space="preserve"> (775) 784-4433, </w:t>
      </w:r>
      <w:hyperlink r:id="rId11" w:history="1">
        <w:r w:rsidRPr="00003F3B">
          <w:rPr>
            <w:rStyle w:val="Hyperlink"/>
            <w:rFonts w:ascii="Garamond" w:hAnsi="Garamond" w:cs="Arial"/>
            <w:sz w:val="24"/>
            <w:szCs w:val="24"/>
            <w:lang w:val="en"/>
          </w:rPr>
          <w:t>Tutoring Center</w:t>
        </w:r>
      </w:hyperlink>
      <w:r w:rsidRPr="00003F3B">
        <w:rPr>
          <w:rFonts w:ascii="Garamond" w:hAnsi="Garamond" w:cs="Arial"/>
          <w:sz w:val="24"/>
          <w:szCs w:val="24"/>
          <w:lang w:val="en"/>
        </w:rPr>
        <w:t xml:space="preserve"> (775) 784-6801, and </w:t>
      </w:r>
      <w:hyperlink r:id="rId12" w:history="1">
        <w:r w:rsidRPr="00003F3B">
          <w:rPr>
            <w:rStyle w:val="Hyperlink"/>
            <w:rFonts w:ascii="Garamond" w:hAnsi="Garamond" w:cs="Arial"/>
            <w:sz w:val="24"/>
            <w:szCs w:val="24"/>
            <w:lang w:val="en"/>
          </w:rPr>
          <w:t>University Writing Center</w:t>
        </w:r>
      </w:hyperlink>
      <w:r w:rsidRPr="00003F3B">
        <w:rPr>
          <w:rFonts w:ascii="Garamond" w:hAnsi="Garamond" w:cs="Arial"/>
          <w:sz w:val="24"/>
          <w:szCs w:val="24"/>
          <w:lang w:val="en"/>
        </w:rPr>
        <w:t xml:space="preserve"> (775) 784-6030. These centers support your classroom learning; it is your responsibility to take advantage of their services. Keep in mind that seeking help outside of class is the sign of a responsible and successful student</w:t>
      </w:r>
    </w:p>
    <w:p w14:paraId="0AE75021" w14:textId="77777777" w:rsidR="00C6409D" w:rsidRPr="00003F3B" w:rsidRDefault="00C6409D" w:rsidP="00C6409D">
      <w:pPr>
        <w:pStyle w:val="NoSpacing"/>
        <w:rPr>
          <w:rFonts w:ascii="Garamond" w:hAnsi="Garamond"/>
          <w:sz w:val="24"/>
          <w:szCs w:val="24"/>
        </w:rPr>
      </w:pPr>
    </w:p>
    <w:p w14:paraId="66F9C040" w14:textId="77777777" w:rsidR="00C6409D" w:rsidRPr="00003F3B" w:rsidRDefault="00C6409D" w:rsidP="00C6409D">
      <w:pPr>
        <w:pStyle w:val="Heading3"/>
        <w:rPr>
          <w:rFonts w:ascii="Garamond" w:hAnsi="Garamond"/>
          <w:b/>
          <w:bCs/>
          <w:color w:val="auto"/>
        </w:rPr>
      </w:pPr>
      <w:r w:rsidRPr="00003F3B">
        <w:rPr>
          <w:rFonts w:ascii="Garamond" w:hAnsi="Garamond"/>
          <w:b/>
          <w:bCs/>
          <w:color w:val="auto"/>
        </w:rPr>
        <w:t>Statement on Audio and Video Recording</w:t>
      </w:r>
    </w:p>
    <w:p w14:paraId="16515548" w14:textId="77777777" w:rsidR="00C6409D" w:rsidRPr="00003F3B" w:rsidRDefault="00C6409D" w:rsidP="00C6409D">
      <w:pPr>
        <w:pStyle w:val="NoSpacing"/>
        <w:rPr>
          <w:rFonts w:ascii="Garamond" w:hAnsi="Garamond"/>
          <w:sz w:val="24"/>
          <w:szCs w:val="24"/>
        </w:rPr>
      </w:pPr>
    </w:p>
    <w:p w14:paraId="49417290" w14:textId="77777777" w:rsidR="00C6409D" w:rsidRDefault="00C6409D" w:rsidP="00C6409D">
      <w:pPr>
        <w:pStyle w:val="NoSpacing"/>
        <w:rPr>
          <w:rFonts w:ascii="Garamond" w:hAnsi="Garamond"/>
          <w:sz w:val="24"/>
          <w:szCs w:val="24"/>
        </w:rPr>
      </w:pPr>
      <w:r w:rsidRPr="00003F3B">
        <w:rPr>
          <w:rFonts w:ascii="Garamond" w:hAnsi="Garamond"/>
          <w:sz w:val="24"/>
          <w:szCs w:val="24"/>
        </w:rPr>
        <w:t>Surreptitious or covert video-taping of class or unauthorized audio recording of class is prohibited by law and by Board of Regents policy. This class may be videotaped or audio recorded only with the written permission of the instructor. In order to accommodate students with disabilities, some students may be given permission to record class lectures and discussions. Therefore, students should understand that their comments during class may be recorded.</w:t>
      </w:r>
    </w:p>
    <w:p w14:paraId="6ED4DC1F" w14:textId="77777777" w:rsidR="00C6409D" w:rsidRPr="00003F3B" w:rsidRDefault="00C6409D" w:rsidP="00C6409D">
      <w:pPr>
        <w:pStyle w:val="NoSpacing"/>
        <w:rPr>
          <w:rFonts w:ascii="Garamond" w:hAnsi="Garamond"/>
          <w:sz w:val="24"/>
          <w:szCs w:val="24"/>
        </w:rPr>
      </w:pPr>
    </w:p>
    <w:p w14:paraId="770D7AFC" w14:textId="77777777" w:rsidR="00C6409D" w:rsidRPr="00003F3B" w:rsidRDefault="00C6409D" w:rsidP="00C6409D">
      <w:pPr>
        <w:pStyle w:val="Heading3"/>
        <w:rPr>
          <w:rFonts w:ascii="Garamond" w:hAnsi="Garamond"/>
          <w:b/>
          <w:bCs/>
          <w:color w:val="auto"/>
        </w:rPr>
      </w:pPr>
      <w:r w:rsidRPr="00003F3B">
        <w:rPr>
          <w:rFonts w:ascii="Garamond" w:hAnsi="Garamond"/>
          <w:b/>
          <w:bCs/>
          <w:color w:val="auto"/>
        </w:rPr>
        <w:t>Statement of Safe Learning Environment</w:t>
      </w:r>
    </w:p>
    <w:p w14:paraId="5B33FAC6" w14:textId="77777777" w:rsidR="00C6409D" w:rsidRDefault="00C6409D" w:rsidP="00C6409D">
      <w:pPr>
        <w:pStyle w:val="NoSpacing"/>
        <w:rPr>
          <w:rFonts w:ascii="Garamond" w:hAnsi="Garamond"/>
          <w:sz w:val="24"/>
          <w:szCs w:val="24"/>
        </w:rPr>
      </w:pPr>
    </w:p>
    <w:p w14:paraId="7428670D" w14:textId="77777777" w:rsidR="00C6409D" w:rsidRPr="0013607A" w:rsidRDefault="00C6409D" w:rsidP="00C6409D">
      <w:pPr>
        <w:pStyle w:val="NoSpacing"/>
        <w:rPr>
          <w:rFonts w:ascii="Garamond" w:hAnsi="Garamond"/>
          <w:sz w:val="24"/>
          <w:szCs w:val="24"/>
        </w:rPr>
      </w:pPr>
      <w:r w:rsidRPr="00003F3B">
        <w:rPr>
          <w:rFonts w:ascii="Garamond" w:hAnsi="Garamond"/>
          <w:sz w:val="24"/>
          <w:szCs w:val="24"/>
        </w:rPr>
        <w:t xml:space="preserve">The University of Nevada, Reno is committed to providing a safe learning and work environment for all. If you believe you have experienced discrimination, sexual harassment, sexual assault, domestic/dating violence, or stalking, whether on or off campus, or need information related to immigration concerns, please contact the University's Equal Opportunity &amp; Title IX office at 775-784-1547. Resources and interim measures are available to assist you. For more information, please visit: </w:t>
      </w:r>
      <w:hyperlink r:id="rId13" w:history="1">
        <w:r w:rsidRPr="00003F3B">
          <w:rPr>
            <w:rStyle w:val="Hyperlink"/>
            <w:rFonts w:ascii="Garamond" w:hAnsi="Garamond"/>
            <w:sz w:val="24"/>
            <w:szCs w:val="24"/>
          </w:rPr>
          <w:t>https://www.unr.edu/equal-opportunity-title-ix</w:t>
        </w:r>
      </w:hyperlink>
    </w:p>
    <w:p w14:paraId="1D3E0B78" w14:textId="251F7DC5" w:rsidR="0012530E" w:rsidRDefault="0012530E">
      <w:pPr>
        <w:rPr>
          <w:rFonts w:ascii="Garamond" w:hAnsi="Garamond"/>
          <w:b/>
          <w:bCs/>
        </w:rPr>
      </w:pPr>
      <w:r>
        <w:rPr>
          <w:rFonts w:ascii="Garamond" w:hAnsi="Garamond"/>
          <w:b/>
          <w:bCs/>
        </w:rPr>
        <w:br w:type="page"/>
      </w:r>
    </w:p>
    <w:p w14:paraId="7693E239" w14:textId="197AF60D" w:rsidR="00543050" w:rsidRDefault="00543050" w:rsidP="00543050">
      <w:pPr>
        <w:jc w:val="center"/>
        <w:rPr>
          <w:rFonts w:ascii="Garamond" w:hAnsi="Garamond"/>
          <w:b/>
          <w:bCs/>
        </w:rPr>
      </w:pPr>
      <w:r>
        <w:rPr>
          <w:rFonts w:ascii="Garamond" w:hAnsi="Garamond"/>
          <w:b/>
          <w:bCs/>
        </w:rPr>
        <w:lastRenderedPageBreak/>
        <w:t>Tentative Course Schedule</w:t>
      </w:r>
    </w:p>
    <w:p w14:paraId="7417227A" w14:textId="77777777" w:rsidR="00543050" w:rsidRPr="00543050" w:rsidRDefault="00543050" w:rsidP="00543050">
      <w:pPr>
        <w:jc w:val="center"/>
        <w:rPr>
          <w:rFonts w:ascii="Garamond" w:hAnsi="Garamond"/>
        </w:rPr>
      </w:pPr>
    </w:p>
    <w:tbl>
      <w:tblPr>
        <w:tblStyle w:val="TableGrid"/>
        <w:tblW w:w="0" w:type="auto"/>
        <w:tblLook w:val="04A0" w:firstRow="1" w:lastRow="0" w:firstColumn="1" w:lastColumn="0" w:noHBand="0" w:noVBand="1"/>
      </w:tblPr>
      <w:tblGrid>
        <w:gridCol w:w="784"/>
        <w:gridCol w:w="786"/>
        <w:gridCol w:w="2753"/>
        <w:gridCol w:w="2892"/>
        <w:gridCol w:w="2135"/>
      </w:tblGrid>
      <w:tr w:rsidR="008E7669" w14:paraId="2F2FBFAA" w14:textId="77777777" w:rsidTr="007F08C1">
        <w:tc>
          <w:tcPr>
            <w:tcW w:w="0" w:type="auto"/>
          </w:tcPr>
          <w:p w14:paraId="36928633" w14:textId="77777777" w:rsidR="00543050" w:rsidRPr="004A29A2" w:rsidRDefault="00543050" w:rsidP="007F08C1">
            <w:pPr>
              <w:rPr>
                <w:rFonts w:ascii="Garamond" w:hAnsi="Garamond"/>
                <w:b/>
                <w:bCs/>
              </w:rPr>
            </w:pPr>
            <w:r w:rsidRPr="004A29A2">
              <w:rPr>
                <w:rFonts w:ascii="Garamond" w:hAnsi="Garamond"/>
                <w:b/>
                <w:bCs/>
              </w:rPr>
              <w:t>Week</w:t>
            </w:r>
          </w:p>
        </w:tc>
        <w:tc>
          <w:tcPr>
            <w:tcW w:w="0" w:type="auto"/>
          </w:tcPr>
          <w:p w14:paraId="2E333150" w14:textId="77777777" w:rsidR="00543050" w:rsidRPr="004A29A2" w:rsidRDefault="00543050" w:rsidP="007F08C1">
            <w:pPr>
              <w:rPr>
                <w:rFonts w:ascii="Garamond" w:hAnsi="Garamond"/>
                <w:b/>
                <w:bCs/>
              </w:rPr>
            </w:pPr>
            <w:r w:rsidRPr="004A29A2">
              <w:rPr>
                <w:rFonts w:ascii="Garamond" w:hAnsi="Garamond"/>
                <w:b/>
                <w:bCs/>
              </w:rPr>
              <w:t>Date</w:t>
            </w:r>
          </w:p>
        </w:tc>
        <w:tc>
          <w:tcPr>
            <w:tcW w:w="0" w:type="auto"/>
          </w:tcPr>
          <w:p w14:paraId="7CF79B48" w14:textId="77777777" w:rsidR="00543050" w:rsidRPr="004A29A2" w:rsidRDefault="00543050" w:rsidP="007F08C1">
            <w:pPr>
              <w:rPr>
                <w:rFonts w:ascii="Garamond" w:hAnsi="Garamond"/>
                <w:b/>
                <w:bCs/>
              </w:rPr>
            </w:pPr>
            <w:r w:rsidRPr="004A29A2">
              <w:rPr>
                <w:rFonts w:ascii="Garamond" w:hAnsi="Garamond"/>
                <w:b/>
                <w:bCs/>
              </w:rPr>
              <w:t>Topic Covered</w:t>
            </w:r>
          </w:p>
        </w:tc>
        <w:tc>
          <w:tcPr>
            <w:tcW w:w="0" w:type="auto"/>
          </w:tcPr>
          <w:p w14:paraId="420D1576" w14:textId="77777777" w:rsidR="00543050" w:rsidRPr="004A29A2" w:rsidRDefault="00543050" w:rsidP="007F08C1">
            <w:pPr>
              <w:rPr>
                <w:rFonts w:ascii="Garamond" w:hAnsi="Garamond"/>
                <w:b/>
                <w:bCs/>
              </w:rPr>
            </w:pPr>
            <w:r w:rsidRPr="004A29A2">
              <w:rPr>
                <w:rFonts w:ascii="Garamond" w:hAnsi="Garamond"/>
                <w:b/>
                <w:bCs/>
              </w:rPr>
              <w:t>Readings Due</w:t>
            </w:r>
          </w:p>
        </w:tc>
        <w:tc>
          <w:tcPr>
            <w:tcW w:w="0" w:type="auto"/>
          </w:tcPr>
          <w:p w14:paraId="0AFD36E6" w14:textId="77777777" w:rsidR="00543050" w:rsidRPr="004A29A2" w:rsidRDefault="00543050" w:rsidP="007F08C1">
            <w:pPr>
              <w:rPr>
                <w:rFonts w:ascii="Garamond" w:hAnsi="Garamond"/>
                <w:b/>
                <w:bCs/>
              </w:rPr>
            </w:pPr>
            <w:r w:rsidRPr="004A29A2">
              <w:rPr>
                <w:rFonts w:ascii="Garamond" w:hAnsi="Garamond"/>
                <w:b/>
                <w:bCs/>
              </w:rPr>
              <w:t>Assignments Due</w:t>
            </w:r>
          </w:p>
        </w:tc>
      </w:tr>
      <w:tr w:rsidR="008E7669" w14:paraId="69C674F7" w14:textId="77777777" w:rsidTr="007F08C1">
        <w:tc>
          <w:tcPr>
            <w:tcW w:w="0" w:type="auto"/>
          </w:tcPr>
          <w:p w14:paraId="55D8B9BE" w14:textId="77777777" w:rsidR="00543050" w:rsidRDefault="00543050" w:rsidP="007F08C1">
            <w:pPr>
              <w:rPr>
                <w:rFonts w:ascii="Garamond" w:hAnsi="Garamond"/>
              </w:rPr>
            </w:pPr>
            <w:r>
              <w:rPr>
                <w:rFonts w:ascii="Garamond" w:hAnsi="Garamond"/>
              </w:rPr>
              <w:t>1</w:t>
            </w:r>
          </w:p>
        </w:tc>
        <w:tc>
          <w:tcPr>
            <w:tcW w:w="0" w:type="auto"/>
          </w:tcPr>
          <w:p w14:paraId="765A97D2" w14:textId="77777777" w:rsidR="00543050" w:rsidRDefault="00543050" w:rsidP="007F08C1">
            <w:pPr>
              <w:rPr>
                <w:rFonts w:ascii="Garamond" w:hAnsi="Garamond"/>
              </w:rPr>
            </w:pPr>
            <w:r>
              <w:rPr>
                <w:rFonts w:ascii="Garamond" w:hAnsi="Garamond"/>
              </w:rPr>
              <w:t>8/24</w:t>
            </w:r>
          </w:p>
        </w:tc>
        <w:tc>
          <w:tcPr>
            <w:tcW w:w="0" w:type="auto"/>
          </w:tcPr>
          <w:p w14:paraId="0C7F3F6A" w14:textId="77777777" w:rsidR="00543050" w:rsidRDefault="00543050" w:rsidP="007F08C1">
            <w:pPr>
              <w:rPr>
                <w:rFonts w:ascii="Garamond" w:hAnsi="Garamond"/>
              </w:rPr>
            </w:pPr>
            <w:r>
              <w:rPr>
                <w:rFonts w:ascii="Garamond" w:hAnsi="Garamond"/>
              </w:rPr>
              <w:t>Course Intro</w:t>
            </w:r>
          </w:p>
          <w:p w14:paraId="75BF25F9" w14:textId="511BDFA6" w:rsidR="00543050" w:rsidRDefault="00543050" w:rsidP="007F08C1">
            <w:pPr>
              <w:rPr>
                <w:rFonts w:ascii="Garamond" w:hAnsi="Garamond"/>
              </w:rPr>
            </w:pPr>
            <w:r>
              <w:rPr>
                <w:rFonts w:ascii="Garamond" w:hAnsi="Garamond"/>
              </w:rPr>
              <w:t>Defining Terms</w:t>
            </w:r>
          </w:p>
        </w:tc>
        <w:tc>
          <w:tcPr>
            <w:tcW w:w="0" w:type="auto"/>
          </w:tcPr>
          <w:p w14:paraId="4120C09C" w14:textId="5929BECF" w:rsidR="004626AD" w:rsidRDefault="008E7669" w:rsidP="007F08C1">
            <w:pPr>
              <w:rPr>
                <w:rFonts w:ascii="Garamond" w:hAnsi="Garamond"/>
              </w:rPr>
            </w:pPr>
            <w:r>
              <w:rPr>
                <w:rFonts w:ascii="Garamond" w:hAnsi="Garamond"/>
              </w:rPr>
              <w:t>Simons &amp; Jones</w:t>
            </w:r>
            <w:r w:rsidR="00543050">
              <w:rPr>
                <w:rFonts w:ascii="Garamond" w:hAnsi="Garamond"/>
              </w:rPr>
              <w:t xml:space="preserve"> Ch. 1 (covered in-class)</w:t>
            </w:r>
          </w:p>
        </w:tc>
        <w:tc>
          <w:tcPr>
            <w:tcW w:w="0" w:type="auto"/>
          </w:tcPr>
          <w:p w14:paraId="5ED05B22" w14:textId="77777777" w:rsidR="00543050" w:rsidRDefault="00543050" w:rsidP="007F08C1">
            <w:pPr>
              <w:rPr>
                <w:rFonts w:ascii="Garamond" w:hAnsi="Garamond"/>
              </w:rPr>
            </w:pPr>
            <w:r>
              <w:rPr>
                <w:rFonts w:ascii="Garamond" w:hAnsi="Garamond"/>
              </w:rPr>
              <w:t>Student Information Sheet</w:t>
            </w:r>
          </w:p>
          <w:p w14:paraId="208A03F4" w14:textId="76E58947" w:rsidR="002847A3" w:rsidRDefault="002847A3" w:rsidP="007F08C1">
            <w:pPr>
              <w:rPr>
                <w:rFonts w:ascii="Garamond" w:hAnsi="Garamond"/>
              </w:rPr>
            </w:pPr>
          </w:p>
        </w:tc>
      </w:tr>
      <w:tr w:rsidR="008E7669" w14:paraId="538CFDA9" w14:textId="77777777" w:rsidTr="007F08C1">
        <w:tc>
          <w:tcPr>
            <w:tcW w:w="0" w:type="auto"/>
          </w:tcPr>
          <w:p w14:paraId="7D8212F3" w14:textId="77777777" w:rsidR="00543050" w:rsidRDefault="00543050" w:rsidP="007F08C1">
            <w:pPr>
              <w:rPr>
                <w:rFonts w:ascii="Garamond" w:hAnsi="Garamond"/>
              </w:rPr>
            </w:pPr>
            <w:r>
              <w:rPr>
                <w:rFonts w:ascii="Garamond" w:hAnsi="Garamond"/>
              </w:rPr>
              <w:t>2</w:t>
            </w:r>
          </w:p>
        </w:tc>
        <w:tc>
          <w:tcPr>
            <w:tcW w:w="0" w:type="auto"/>
          </w:tcPr>
          <w:p w14:paraId="021DF1B6" w14:textId="77777777" w:rsidR="00543050" w:rsidRDefault="00543050" w:rsidP="007F08C1">
            <w:pPr>
              <w:rPr>
                <w:rFonts w:ascii="Garamond" w:hAnsi="Garamond"/>
              </w:rPr>
            </w:pPr>
            <w:r>
              <w:rPr>
                <w:rFonts w:ascii="Garamond" w:hAnsi="Garamond"/>
              </w:rPr>
              <w:t>8/31</w:t>
            </w:r>
          </w:p>
        </w:tc>
        <w:tc>
          <w:tcPr>
            <w:tcW w:w="0" w:type="auto"/>
          </w:tcPr>
          <w:p w14:paraId="7B75C23C" w14:textId="0C35C008" w:rsidR="00543050" w:rsidRDefault="00543050" w:rsidP="007F08C1">
            <w:pPr>
              <w:rPr>
                <w:rFonts w:ascii="Garamond" w:hAnsi="Garamond"/>
              </w:rPr>
            </w:pPr>
            <w:r>
              <w:rPr>
                <w:rFonts w:ascii="Garamond" w:hAnsi="Garamond"/>
              </w:rPr>
              <w:t>Classical Rhetoric</w:t>
            </w:r>
          </w:p>
        </w:tc>
        <w:tc>
          <w:tcPr>
            <w:tcW w:w="0" w:type="auto"/>
          </w:tcPr>
          <w:p w14:paraId="6FA96D48" w14:textId="77777777" w:rsidR="00543050" w:rsidRDefault="00543050" w:rsidP="007F08C1">
            <w:pPr>
              <w:rPr>
                <w:rFonts w:ascii="Garamond" w:hAnsi="Garamond"/>
              </w:rPr>
            </w:pPr>
            <w:r>
              <w:rPr>
                <w:rFonts w:ascii="Garamond" w:hAnsi="Garamond"/>
              </w:rPr>
              <w:t>Borchers</w:t>
            </w:r>
          </w:p>
          <w:p w14:paraId="21C4234B" w14:textId="58C475FC" w:rsidR="002847A3" w:rsidRDefault="00FF1F0A" w:rsidP="007F08C1">
            <w:pPr>
              <w:rPr>
                <w:rFonts w:ascii="Garamond" w:hAnsi="Garamond"/>
              </w:rPr>
            </w:pPr>
            <w:r>
              <w:rPr>
                <w:rFonts w:ascii="Garamond" w:hAnsi="Garamond"/>
              </w:rPr>
              <w:t>Smith</w:t>
            </w:r>
          </w:p>
          <w:p w14:paraId="51D25C2A" w14:textId="3C72F8EB" w:rsidR="00652A61" w:rsidRDefault="00652A61" w:rsidP="007F08C1">
            <w:pPr>
              <w:rPr>
                <w:rFonts w:ascii="Garamond" w:hAnsi="Garamond"/>
              </w:rPr>
            </w:pPr>
          </w:p>
        </w:tc>
        <w:tc>
          <w:tcPr>
            <w:tcW w:w="0" w:type="auto"/>
          </w:tcPr>
          <w:p w14:paraId="336562D3" w14:textId="48AF112B" w:rsidR="00543050" w:rsidRPr="00906185" w:rsidRDefault="00543050" w:rsidP="007F08C1">
            <w:pPr>
              <w:rPr>
                <w:rFonts w:ascii="Garamond" w:hAnsi="Garamond"/>
                <w:b/>
                <w:bCs/>
              </w:rPr>
            </w:pPr>
            <w:r w:rsidRPr="00906185">
              <w:rPr>
                <w:rFonts w:ascii="Garamond" w:hAnsi="Garamond"/>
                <w:b/>
                <w:bCs/>
              </w:rPr>
              <w:t>Syllabus Quiz</w:t>
            </w:r>
          </w:p>
        </w:tc>
      </w:tr>
      <w:tr w:rsidR="008E7669" w14:paraId="71162B5C" w14:textId="77777777" w:rsidTr="007F08C1">
        <w:tc>
          <w:tcPr>
            <w:tcW w:w="0" w:type="auto"/>
          </w:tcPr>
          <w:p w14:paraId="62EC2165" w14:textId="77777777" w:rsidR="00543050" w:rsidRDefault="00543050" w:rsidP="007F08C1">
            <w:pPr>
              <w:rPr>
                <w:rFonts w:ascii="Garamond" w:hAnsi="Garamond"/>
              </w:rPr>
            </w:pPr>
            <w:r>
              <w:rPr>
                <w:rFonts w:ascii="Garamond" w:hAnsi="Garamond"/>
              </w:rPr>
              <w:t>3</w:t>
            </w:r>
          </w:p>
        </w:tc>
        <w:tc>
          <w:tcPr>
            <w:tcW w:w="0" w:type="auto"/>
          </w:tcPr>
          <w:p w14:paraId="17CA1A34" w14:textId="77777777" w:rsidR="00543050" w:rsidRDefault="00543050" w:rsidP="007F08C1">
            <w:pPr>
              <w:rPr>
                <w:rFonts w:ascii="Garamond" w:hAnsi="Garamond"/>
              </w:rPr>
            </w:pPr>
            <w:r>
              <w:rPr>
                <w:rFonts w:ascii="Garamond" w:hAnsi="Garamond"/>
              </w:rPr>
              <w:t>9/7</w:t>
            </w:r>
          </w:p>
        </w:tc>
        <w:tc>
          <w:tcPr>
            <w:tcW w:w="0" w:type="auto"/>
          </w:tcPr>
          <w:p w14:paraId="3F5BEFB1" w14:textId="77777777" w:rsidR="00543050" w:rsidRDefault="00543050" w:rsidP="007F08C1">
            <w:pPr>
              <w:rPr>
                <w:rFonts w:ascii="Garamond" w:hAnsi="Garamond"/>
              </w:rPr>
            </w:pPr>
            <w:r>
              <w:rPr>
                <w:rFonts w:ascii="Garamond" w:hAnsi="Garamond"/>
              </w:rPr>
              <w:t>Narrative Rhetoric</w:t>
            </w:r>
          </w:p>
          <w:p w14:paraId="450738FC" w14:textId="77777777" w:rsidR="00543050" w:rsidRDefault="00543050" w:rsidP="007F08C1">
            <w:pPr>
              <w:rPr>
                <w:rFonts w:ascii="Garamond" w:hAnsi="Garamond"/>
              </w:rPr>
            </w:pPr>
          </w:p>
        </w:tc>
        <w:tc>
          <w:tcPr>
            <w:tcW w:w="0" w:type="auto"/>
          </w:tcPr>
          <w:p w14:paraId="13D8D012" w14:textId="6A60C5C4" w:rsidR="004626AD" w:rsidRDefault="00543050" w:rsidP="007F08C1">
            <w:pPr>
              <w:rPr>
                <w:rFonts w:ascii="Garamond" w:hAnsi="Garamond"/>
              </w:rPr>
            </w:pPr>
            <w:proofErr w:type="spellStart"/>
            <w:r>
              <w:rPr>
                <w:rFonts w:ascii="Garamond" w:hAnsi="Garamond"/>
              </w:rPr>
              <w:t>Palczeswski</w:t>
            </w:r>
            <w:proofErr w:type="spellEnd"/>
            <w:r w:rsidR="00823A6D">
              <w:rPr>
                <w:rFonts w:ascii="Garamond" w:hAnsi="Garamond"/>
              </w:rPr>
              <w:t xml:space="preserve">, </w:t>
            </w:r>
            <w:r w:rsidR="00411EA3">
              <w:rPr>
                <w:rFonts w:ascii="Garamond" w:hAnsi="Garamond"/>
              </w:rPr>
              <w:t xml:space="preserve">Ice &amp; </w:t>
            </w:r>
            <w:r w:rsidR="00823A6D">
              <w:rPr>
                <w:rFonts w:ascii="Garamond" w:hAnsi="Garamond"/>
              </w:rPr>
              <w:t>Fritch</w:t>
            </w:r>
          </w:p>
          <w:p w14:paraId="10721F2C" w14:textId="4682EFD5" w:rsidR="00823A6D" w:rsidRDefault="0091077B" w:rsidP="007F08C1">
            <w:pPr>
              <w:rPr>
                <w:rFonts w:ascii="Garamond" w:hAnsi="Garamond"/>
              </w:rPr>
            </w:pPr>
            <w:r>
              <w:rPr>
                <w:rFonts w:ascii="Garamond" w:hAnsi="Garamond"/>
              </w:rPr>
              <w:t>Leslie</w:t>
            </w:r>
          </w:p>
          <w:p w14:paraId="2731CB1F" w14:textId="7FB2FBC8" w:rsidR="00823A6D" w:rsidRDefault="00823A6D" w:rsidP="007F08C1">
            <w:pPr>
              <w:rPr>
                <w:rFonts w:ascii="Garamond" w:hAnsi="Garamond"/>
              </w:rPr>
            </w:pPr>
          </w:p>
        </w:tc>
        <w:tc>
          <w:tcPr>
            <w:tcW w:w="0" w:type="auto"/>
          </w:tcPr>
          <w:p w14:paraId="051AD2D0" w14:textId="65EFA6E2" w:rsidR="002847A3" w:rsidRPr="00FB6E21" w:rsidRDefault="00FB6E21" w:rsidP="00FB6E21">
            <w:pPr>
              <w:rPr>
                <w:rFonts w:ascii="Garamond" w:hAnsi="Garamond"/>
                <w:b/>
                <w:bCs/>
              </w:rPr>
            </w:pPr>
            <w:r w:rsidRPr="00FB6E21">
              <w:rPr>
                <w:rFonts w:ascii="Garamond" w:hAnsi="Garamond"/>
                <w:b/>
                <w:bCs/>
              </w:rPr>
              <w:t>Think Piece #1</w:t>
            </w:r>
          </w:p>
        </w:tc>
      </w:tr>
      <w:tr w:rsidR="008E7669" w14:paraId="6324E217" w14:textId="77777777" w:rsidTr="007F08C1">
        <w:tc>
          <w:tcPr>
            <w:tcW w:w="0" w:type="auto"/>
          </w:tcPr>
          <w:p w14:paraId="7A8A524B" w14:textId="77777777" w:rsidR="00543050" w:rsidRDefault="00543050" w:rsidP="007F08C1">
            <w:pPr>
              <w:rPr>
                <w:rFonts w:ascii="Garamond" w:hAnsi="Garamond"/>
              </w:rPr>
            </w:pPr>
            <w:r>
              <w:rPr>
                <w:rFonts w:ascii="Garamond" w:hAnsi="Garamond"/>
              </w:rPr>
              <w:t>4</w:t>
            </w:r>
          </w:p>
        </w:tc>
        <w:tc>
          <w:tcPr>
            <w:tcW w:w="0" w:type="auto"/>
          </w:tcPr>
          <w:p w14:paraId="2783FA6A" w14:textId="77777777" w:rsidR="00543050" w:rsidRDefault="00543050" w:rsidP="007F08C1">
            <w:pPr>
              <w:rPr>
                <w:rFonts w:ascii="Garamond" w:hAnsi="Garamond"/>
              </w:rPr>
            </w:pPr>
            <w:r>
              <w:rPr>
                <w:rFonts w:ascii="Garamond" w:hAnsi="Garamond"/>
              </w:rPr>
              <w:t>9/14</w:t>
            </w:r>
          </w:p>
        </w:tc>
        <w:tc>
          <w:tcPr>
            <w:tcW w:w="0" w:type="auto"/>
          </w:tcPr>
          <w:p w14:paraId="2FF23410" w14:textId="736649C5" w:rsidR="00054C53" w:rsidRDefault="00543050" w:rsidP="007F08C1">
            <w:pPr>
              <w:rPr>
                <w:rFonts w:ascii="Garamond" w:hAnsi="Garamond"/>
              </w:rPr>
            </w:pPr>
            <w:r>
              <w:rPr>
                <w:rFonts w:ascii="Garamond" w:hAnsi="Garamond"/>
              </w:rPr>
              <w:t>Visual Rhetoric</w:t>
            </w:r>
            <w:r w:rsidR="00DF3887">
              <w:rPr>
                <w:rFonts w:ascii="Garamond" w:hAnsi="Garamond"/>
              </w:rPr>
              <w:t xml:space="preserve"> and Semiotics</w:t>
            </w:r>
          </w:p>
        </w:tc>
        <w:tc>
          <w:tcPr>
            <w:tcW w:w="0" w:type="auto"/>
          </w:tcPr>
          <w:p w14:paraId="42E5BBBB" w14:textId="77777777" w:rsidR="00543050" w:rsidRDefault="00543050" w:rsidP="007F08C1">
            <w:pPr>
              <w:rPr>
                <w:rFonts w:ascii="Garamond" w:hAnsi="Garamond"/>
              </w:rPr>
            </w:pPr>
            <w:r>
              <w:rPr>
                <w:rFonts w:ascii="Garamond" w:hAnsi="Garamond"/>
              </w:rPr>
              <w:t xml:space="preserve">Phillips </w:t>
            </w:r>
            <w:r w:rsidR="0091077B">
              <w:rPr>
                <w:rFonts w:ascii="Garamond" w:hAnsi="Garamond"/>
              </w:rPr>
              <w:t>&amp;</w:t>
            </w:r>
            <w:r>
              <w:rPr>
                <w:rFonts w:ascii="Garamond" w:hAnsi="Garamond"/>
              </w:rPr>
              <w:t xml:space="preserve"> McQuarrie</w:t>
            </w:r>
          </w:p>
          <w:p w14:paraId="19972E63" w14:textId="77777777" w:rsidR="00C12357" w:rsidRDefault="00C12357" w:rsidP="007F08C1">
            <w:pPr>
              <w:rPr>
                <w:rFonts w:ascii="Garamond" w:hAnsi="Garamond"/>
              </w:rPr>
            </w:pPr>
            <w:r>
              <w:rPr>
                <w:rFonts w:ascii="Garamond" w:hAnsi="Garamond"/>
              </w:rPr>
              <w:t>Aiello</w:t>
            </w:r>
          </w:p>
          <w:p w14:paraId="7C58AC44" w14:textId="452AE4C5" w:rsidR="00C12357" w:rsidRDefault="00C12357" w:rsidP="007F08C1">
            <w:pPr>
              <w:rPr>
                <w:rFonts w:ascii="Garamond" w:hAnsi="Garamond"/>
              </w:rPr>
            </w:pPr>
          </w:p>
        </w:tc>
        <w:tc>
          <w:tcPr>
            <w:tcW w:w="0" w:type="auto"/>
          </w:tcPr>
          <w:p w14:paraId="5FA41E97" w14:textId="78E078E2" w:rsidR="002847A3" w:rsidRPr="00906185" w:rsidRDefault="002F387E" w:rsidP="002F387E">
            <w:pPr>
              <w:rPr>
                <w:rFonts w:ascii="Garamond" w:hAnsi="Garamond"/>
                <w:b/>
                <w:bCs/>
              </w:rPr>
            </w:pPr>
            <w:r w:rsidRPr="00906185">
              <w:rPr>
                <w:rFonts w:ascii="Garamond" w:hAnsi="Garamond"/>
                <w:b/>
                <w:bCs/>
              </w:rPr>
              <w:t>Think Piece #2</w:t>
            </w:r>
          </w:p>
          <w:p w14:paraId="4D8E321A" w14:textId="0386A63D" w:rsidR="002F387E" w:rsidRPr="00362B57" w:rsidRDefault="002F387E" w:rsidP="002F387E">
            <w:pPr>
              <w:rPr>
                <w:rFonts w:ascii="Garamond" w:hAnsi="Garamond"/>
              </w:rPr>
            </w:pPr>
          </w:p>
        </w:tc>
      </w:tr>
      <w:tr w:rsidR="008E7669" w14:paraId="69B9DD14" w14:textId="77777777" w:rsidTr="007F08C1">
        <w:tc>
          <w:tcPr>
            <w:tcW w:w="0" w:type="auto"/>
          </w:tcPr>
          <w:p w14:paraId="3D0443F2" w14:textId="11763CE7" w:rsidR="0020471B" w:rsidRDefault="0020471B" w:rsidP="0020471B">
            <w:pPr>
              <w:rPr>
                <w:rFonts w:ascii="Garamond" w:hAnsi="Garamond"/>
              </w:rPr>
            </w:pPr>
            <w:r>
              <w:rPr>
                <w:rFonts w:ascii="Garamond" w:hAnsi="Garamond"/>
              </w:rPr>
              <w:t>5</w:t>
            </w:r>
          </w:p>
        </w:tc>
        <w:tc>
          <w:tcPr>
            <w:tcW w:w="0" w:type="auto"/>
          </w:tcPr>
          <w:p w14:paraId="67AF6A90" w14:textId="225D9BD5" w:rsidR="0020471B" w:rsidRDefault="0020471B" w:rsidP="0020471B">
            <w:pPr>
              <w:rPr>
                <w:rFonts w:ascii="Garamond" w:hAnsi="Garamond"/>
              </w:rPr>
            </w:pPr>
            <w:r>
              <w:rPr>
                <w:rFonts w:ascii="Garamond" w:hAnsi="Garamond"/>
              </w:rPr>
              <w:t>9/21</w:t>
            </w:r>
          </w:p>
        </w:tc>
        <w:tc>
          <w:tcPr>
            <w:tcW w:w="0" w:type="auto"/>
          </w:tcPr>
          <w:p w14:paraId="50E74D54" w14:textId="25EF7595" w:rsidR="0020471B" w:rsidRPr="009171A0" w:rsidRDefault="0020471B" w:rsidP="0020471B">
            <w:pPr>
              <w:rPr>
                <w:rFonts w:ascii="Garamond" w:hAnsi="Garamond"/>
                <w:b/>
                <w:bCs/>
              </w:rPr>
            </w:pPr>
            <w:r w:rsidRPr="009171A0">
              <w:rPr>
                <w:rFonts w:ascii="Garamond" w:hAnsi="Garamond"/>
                <w:b/>
                <w:bCs/>
              </w:rPr>
              <w:t>Exam 1</w:t>
            </w:r>
            <w:r w:rsidR="006F3BF6">
              <w:rPr>
                <w:rFonts w:ascii="Garamond" w:hAnsi="Garamond"/>
                <w:b/>
                <w:bCs/>
              </w:rPr>
              <w:t xml:space="preserve"> (90 minutes)</w:t>
            </w:r>
          </w:p>
          <w:p w14:paraId="05BA56F1" w14:textId="77777777" w:rsidR="002847A3" w:rsidRDefault="0020471B" w:rsidP="0020471B">
            <w:pPr>
              <w:rPr>
                <w:rFonts w:ascii="Garamond" w:hAnsi="Garamond"/>
              </w:rPr>
            </w:pPr>
            <w:r>
              <w:rPr>
                <w:rFonts w:ascii="Garamond" w:hAnsi="Garamond"/>
              </w:rPr>
              <w:t>Social Science</w:t>
            </w:r>
          </w:p>
          <w:p w14:paraId="4F97F35F" w14:textId="7ECC7BE7" w:rsidR="00054C53" w:rsidRDefault="00054C53" w:rsidP="0020471B">
            <w:pPr>
              <w:rPr>
                <w:rFonts w:ascii="Garamond" w:hAnsi="Garamond"/>
              </w:rPr>
            </w:pPr>
          </w:p>
        </w:tc>
        <w:tc>
          <w:tcPr>
            <w:tcW w:w="0" w:type="auto"/>
          </w:tcPr>
          <w:p w14:paraId="13607448" w14:textId="7C2B0E07" w:rsidR="0020471B" w:rsidRDefault="008E7669" w:rsidP="0020471B">
            <w:pPr>
              <w:rPr>
                <w:rFonts w:ascii="Garamond" w:hAnsi="Garamond"/>
              </w:rPr>
            </w:pPr>
            <w:r>
              <w:rPr>
                <w:rFonts w:ascii="Garamond" w:hAnsi="Garamond"/>
              </w:rPr>
              <w:t>Simons &amp; Jones, Ch. 2</w:t>
            </w:r>
          </w:p>
        </w:tc>
        <w:tc>
          <w:tcPr>
            <w:tcW w:w="0" w:type="auto"/>
          </w:tcPr>
          <w:p w14:paraId="7659AFCA" w14:textId="28C82CAF" w:rsidR="0020471B" w:rsidRDefault="0020471B" w:rsidP="0020471B">
            <w:pPr>
              <w:rPr>
                <w:rFonts w:ascii="Garamond" w:hAnsi="Garamond"/>
              </w:rPr>
            </w:pPr>
          </w:p>
        </w:tc>
      </w:tr>
      <w:tr w:rsidR="008E7669" w14:paraId="075DF800" w14:textId="77777777" w:rsidTr="007F08C1">
        <w:tc>
          <w:tcPr>
            <w:tcW w:w="0" w:type="auto"/>
          </w:tcPr>
          <w:p w14:paraId="1C6AC4F6" w14:textId="78D77773" w:rsidR="0020471B" w:rsidRDefault="0020471B" w:rsidP="0020471B">
            <w:pPr>
              <w:rPr>
                <w:rFonts w:ascii="Garamond" w:hAnsi="Garamond"/>
              </w:rPr>
            </w:pPr>
            <w:r>
              <w:rPr>
                <w:rFonts w:ascii="Garamond" w:hAnsi="Garamond"/>
              </w:rPr>
              <w:t>6</w:t>
            </w:r>
          </w:p>
        </w:tc>
        <w:tc>
          <w:tcPr>
            <w:tcW w:w="0" w:type="auto"/>
          </w:tcPr>
          <w:p w14:paraId="4712D374" w14:textId="18CD18D4" w:rsidR="0020471B" w:rsidRDefault="0020471B" w:rsidP="0020471B">
            <w:pPr>
              <w:rPr>
                <w:rFonts w:ascii="Garamond" w:hAnsi="Garamond"/>
              </w:rPr>
            </w:pPr>
            <w:r>
              <w:rPr>
                <w:rFonts w:ascii="Garamond" w:hAnsi="Garamond"/>
              </w:rPr>
              <w:t>9/28</w:t>
            </w:r>
          </w:p>
        </w:tc>
        <w:tc>
          <w:tcPr>
            <w:tcW w:w="0" w:type="auto"/>
          </w:tcPr>
          <w:p w14:paraId="1CE4EB6C" w14:textId="70DDAFBF" w:rsidR="008E7669" w:rsidRDefault="008E7669" w:rsidP="0020471B">
            <w:pPr>
              <w:rPr>
                <w:rFonts w:ascii="Garamond" w:hAnsi="Garamond"/>
              </w:rPr>
            </w:pPr>
            <w:r>
              <w:rPr>
                <w:rFonts w:ascii="Garamond" w:hAnsi="Garamond"/>
              </w:rPr>
              <w:t>Cognitive Dissonance</w:t>
            </w:r>
            <w:r w:rsidR="00411EA3">
              <w:rPr>
                <w:rFonts w:ascii="Garamond" w:hAnsi="Garamond"/>
              </w:rPr>
              <w:t xml:space="preserve"> &amp;</w:t>
            </w:r>
          </w:p>
          <w:p w14:paraId="5F22EA0E" w14:textId="77777777" w:rsidR="008E7669" w:rsidRDefault="008E7669" w:rsidP="0020471B">
            <w:pPr>
              <w:rPr>
                <w:rFonts w:ascii="Garamond" w:hAnsi="Garamond"/>
              </w:rPr>
            </w:pPr>
            <w:r>
              <w:rPr>
                <w:rFonts w:ascii="Garamond" w:hAnsi="Garamond"/>
              </w:rPr>
              <w:t>Social Judgment Theory</w:t>
            </w:r>
          </w:p>
          <w:p w14:paraId="3846EAEC" w14:textId="48BB93D3" w:rsidR="00054C53" w:rsidRDefault="00054C53" w:rsidP="0020471B">
            <w:pPr>
              <w:rPr>
                <w:rFonts w:ascii="Garamond" w:hAnsi="Garamond"/>
              </w:rPr>
            </w:pPr>
          </w:p>
        </w:tc>
        <w:tc>
          <w:tcPr>
            <w:tcW w:w="0" w:type="auto"/>
          </w:tcPr>
          <w:p w14:paraId="0D640DF5" w14:textId="05A29A2C" w:rsidR="002847A3" w:rsidRDefault="008E6812" w:rsidP="0020471B">
            <w:pPr>
              <w:rPr>
                <w:rFonts w:ascii="Garamond" w:hAnsi="Garamond"/>
              </w:rPr>
            </w:pPr>
            <w:proofErr w:type="spellStart"/>
            <w:r>
              <w:rPr>
                <w:rFonts w:ascii="Garamond" w:hAnsi="Garamond"/>
              </w:rPr>
              <w:t>Gass</w:t>
            </w:r>
            <w:proofErr w:type="spellEnd"/>
            <w:r>
              <w:rPr>
                <w:rFonts w:ascii="Garamond" w:hAnsi="Garamond"/>
              </w:rPr>
              <w:t xml:space="preserve"> &amp; Seiter</w:t>
            </w:r>
          </w:p>
          <w:p w14:paraId="67C02B2B" w14:textId="2E5617B2" w:rsidR="008E6812" w:rsidRDefault="008E6812" w:rsidP="0020471B">
            <w:pPr>
              <w:rPr>
                <w:rFonts w:ascii="Garamond" w:hAnsi="Garamond"/>
              </w:rPr>
            </w:pPr>
            <w:r>
              <w:rPr>
                <w:rFonts w:ascii="Garamond" w:hAnsi="Garamond"/>
              </w:rPr>
              <w:t>Griffin, Ledbetter, &amp; Sparks</w:t>
            </w:r>
          </w:p>
          <w:p w14:paraId="13AF3B26" w14:textId="5E89CE67" w:rsidR="008E6812" w:rsidRDefault="008E6812" w:rsidP="0020471B">
            <w:pPr>
              <w:rPr>
                <w:rFonts w:ascii="Garamond" w:hAnsi="Garamond"/>
              </w:rPr>
            </w:pPr>
          </w:p>
        </w:tc>
        <w:tc>
          <w:tcPr>
            <w:tcW w:w="0" w:type="auto"/>
          </w:tcPr>
          <w:p w14:paraId="447CEB5C" w14:textId="306E4D9F" w:rsidR="0020471B" w:rsidRPr="00906185" w:rsidRDefault="0020471B" w:rsidP="0020471B">
            <w:pPr>
              <w:rPr>
                <w:rFonts w:ascii="Garamond" w:hAnsi="Garamond"/>
                <w:b/>
                <w:bCs/>
              </w:rPr>
            </w:pPr>
          </w:p>
        </w:tc>
      </w:tr>
      <w:tr w:rsidR="008267B9" w14:paraId="4E049B53" w14:textId="77777777" w:rsidTr="007F08C1">
        <w:tc>
          <w:tcPr>
            <w:tcW w:w="0" w:type="auto"/>
          </w:tcPr>
          <w:p w14:paraId="7A4517C6" w14:textId="7729BDAF" w:rsidR="008267B9" w:rsidRDefault="008267B9" w:rsidP="008267B9">
            <w:pPr>
              <w:rPr>
                <w:rFonts w:ascii="Garamond" w:hAnsi="Garamond"/>
              </w:rPr>
            </w:pPr>
            <w:r>
              <w:rPr>
                <w:rFonts w:ascii="Garamond" w:hAnsi="Garamond"/>
              </w:rPr>
              <w:t>7</w:t>
            </w:r>
          </w:p>
        </w:tc>
        <w:tc>
          <w:tcPr>
            <w:tcW w:w="0" w:type="auto"/>
          </w:tcPr>
          <w:p w14:paraId="47ADFDA7" w14:textId="271FDF64" w:rsidR="008267B9" w:rsidRDefault="008267B9" w:rsidP="008267B9">
            <w:pPr>
              <w:rPr>
                <w:rFonts w:ascii="Garamond" w:hAnsi="Garamond"/>
              </w:rPr>
            </w:pPr>
            <w:r>
              <w:rPr>
                <w:rFonts w:ascii="Garamond" w:hAnsi="Garamond"/>
              </w:rPr>
              <w:t>10/5</w:t>
            </w:r>
          </w:p>
        </w:tc>
        <w:tc>
          <w:tcPr>
            <w:tcW w:w="0" w:type="auto"/>
          </w:tcPr>
          <w:p w14:paraId="6799D5A9" w14:textId="13A6A3E4" w:rsidR="00411EA3" w:rsidRDefault="00411EA3" w:rsidP="008267B9">
            <w:pPr>
              <w:rPr>
                <w:rFonts w:ascii="Garamond" w:hAnsi="Garamond"/>
              </w:rPr>
            </w:pPr>
            <w:r>
              <w:rPr>
                <w:rFonts w:ascii="Garamond" w:hAnsi="Garamond"/>
              </w:rPr>
              <w:t>Message Theories</w:t>
            </w:r>
          </w:p>
          <w:p w14:paraId="78E8D57E" w14:textId="597A0436" w:rsidR="008267B9" w:rsidRDefault="008267B9" w:rsidP="008267B9">
            <w:pPr>
              <w:rPr>
                <w:rFonts w:ascii="Garamond" w:hAnsi="Garamond"/>
              </w:rPr>
            </w:pPr>
          </w:p>
        </w:tc>
        <w:tc>
          <w:tcPr>
            <w:tcW w:w="0" w:type="auto"/>
          </w:tcPr>
          <w:p w14:paraId="17533D36" w14:textId="6904F9D9" w:rsidR="008267B9" w:rsidRDefault="008267B9" w:rsidP="008267B9">
            <w:pPr>
              <w:rPr>
                <w:rFonts w:ascii="Garamond" w:hAnsi="Garamond"/>
              </w:rPr>
            </w:pPr>
            <w:proofErr w:type="spellStart"/>
            <w:r>
              <w:rPr>
                <w:rFonts w:ascii="Garamond" w:hAnsi="Garamond"/>
              </w:rPr>
              <w:t>Frymier</w:t>
            </w:r>
            <w:proofErr w:type="spellEnd"/>
            <w:r>
              <w:rPr>
                <w:rFonts w:ascii="Garamond" w:hAnsi="Garamond"/>
              </w:rPr>
              <w:t xml:space="preserve"> &amp; Nadler</w:t>
            </w:r>
          </w:p>
        </w:tc>
        <w:tc>
          <w:tcPr>
            <w:tcW w:w="0" w:type="auto"/>
          </w:tcPr>
          <w:p w14:paraId="6F5FEC99" w14:textId="7BB268D4" w:rsidR="008267B9" w:rsidRDefault="008267B9" w:rsidP="008267B9">
            <w:pPr>
              <w:rPr>
                <w:rFonts w:ascii="Garamond" w:hAnsi="Garamond"/>
              </w:rPr>
            </w:pPr>
            <w:r w:rsidRPr="00906185">
              <w:rPr>
                <w:rFonts w:ascii="Garamond" w:hAnsi="Garamond"/>
                <w:b/>
                <w:bCs/>
              </w:rPr>
              <w:t>Think Piece #3</w:t>
            </w:r>
          </w:p>
        </w:tc>
      </w:tr>
      <w:tr w:rsidR="00E74034" w14:paraId="31BDD57F" w14:textId="77777777" w:rsidTr="007F08C1">
        <w:tc>
          <w:tcPr>
            <w:tcW w:w="0" w:type="auto"/>
          </w:tcPr>
          <w:p w14:paraId="45D79489" w14:textId="77777777" w:rsidR="00E74034" w:rsidRDefault="00E74034" w:rsidP="008267B9">
            <w:pPr>
              <w:rPr>
                <w:rFonts w:ascii="Garamond" w:hAnsi="Garamond"/>
              </w:rPr>
            </w:pPr>
            <w:r>
              <w:rPr>
                <w:rFonts w:ascii="Garamond" w:hAnsi="Garamond"/>
              </w:rPr>
              <w:t>8</w:t>
            </w:r>
          </w:p>
          <w:p w14:paraId="5FCB5633" w14:textId="490E54CA" w:rsidR="00E74034" w:rsidRDefault="00E74034" w:rsidP="008267B9">
            <w:pPr>
              <w:rPr>
                <w:rFonts w:ascii="Garamond" w:hAnsi="Garamond"/>
              </w:rPr>
            </w:pPr>
          </w:p>
        </w:tc>
        <w:tc>
          <w:tcPr>
            <w:tcW w:w="0" w:type="auto"/>
          </w:tcPr>
          <w:p w14:paraId="16B6C37D" w14:textId="229BDFF0" w:rsidR="00E74034" w:rsidRDefault="00E74034" w:rsidP="008267B9">
            <w:pPr>
              <w:rPr>
                <w:rFonts w:ascii="Garamond" w:hAnsi="Garamond"/>
              </w:rPr>
            </w:pPr>
            <w:r>
              <w:rPr>
                <w:rFonts w:ascii="Garamond" w:hAnsi="Garamond"/>
              </w:rPr>
              <w:t>10/12</w:t>
            </w:r>
          </w:p>
        </w:tc>
        <w:tc>
          <w:tcPr>
            <w:tcW w:w="0" w:type="auto"/>
          </w:tcPr>
          <w:p w14:paraId="019DED77" w14:textId="77777777" w:rsidR="00E74034" w:rsidRDefault="00E74034" w:rsidP="00E74034">
            <w:pPr>
              <w:rPr>
                <w:rFonts w:ascii="Garamond" w:hAnsi="Garamond"/>
              </w:rPr>
            </w:pPr>
            <w:r>
              <w:rPr>
                <w:rFonts w:ascii="Garamond" w:hAnsi="Garamond"/>
              </w:rPr>
              <w:t>The Dark Side of Persuasion: Coercion and Control</w:t>
            </w:r>
          </w:p>
          <w:p w14:paraId="7C764788" w14:textId="77777777" w:rsidR="00E74034" w:rsidRDefault="00E74034" w:rsidP="008267B9">
            <w:pPr>
              <w:rPr>
                <w:rFonts w:ascii="Garamond" w:hAnsi="Garamond"/>
              </w:rPr>
            </w:pPr>
          </w:p>
        </w:tc>
        <w:tc>
          <w:tcPr>
            <w:tcW w:w="0" w:type="auto"/>
          </w:tcPr>
          <w:p w14:paraId="6B6FF476" w14:textId="77777777" w:rsidR="00E74034" w:rsidRDefault="00E74034" w:rsidP="00E74034">
            <w:pPr>
              <w:rPr>
                <w:rFonts w:ascii="Garamond" w:hAnsi="Garamond"/>
              </w:rPr>
            </w:pPr>
            <w:proofErr w:type="spellStart"/>
            <w:r>
              <w:rPr>
                <w:rFonts w:ascii="Garamond" w:hAnsi="Garamond"/>
              </w:rPr>
              <w:t>Bullee</w:t>
            </w:r>
            <w:proofErr w:type="spellEnd"/>
            <w:r>
              <w:rPr>
                <w:rFonts w:ascii="Garamond" w:hAnsi="Garamond"/>
              </w:rPr>
              <w:t xml:space="preserve"> et al</w:t>
            </w:r>
          </w:p>
          <w:p w14:paraId="60A3244A" w14:textId="41024715" w:rsidR="00E74034" w:rsidRDefault="00E74034" w:rsidP="00E74034">
            <w:pPr>
              <w:rPr>
                <w:rFonts w:ascii="Garamond" w:hAnsi="Garamond"/>
              </w:rPr>
            </w:pPr>
            <w:proofErr w:type="spellStart"/>
            <w:r>
              <w:rPr>
                <w:rFonts w:ascii="Garamond" w:hAnsi="Garamond"/>
              </w:rPr>
              <w:t>Pratkanis</w:t>
            </w:r>
            <w:proofErr w:type="spellEnd"/>
            <w:r>
              <w:rPr>
                <w:rFonts w:ascii="Garamond" w:hAnsi="Garamond"/>
              </w:rPr>
              <w:t xml:space="preserve"> &amp; </w:t>
            </w:r>
            <w:proofErr w:type="spellStart"/>
            <w:r>
              <w:rPr>
                <w:rFonts w:ascii="Garamond" w:hAnsi="Garamond"/>
              </w:rPr>
              <w:t>Arsonson</w:t>
            </w:r>
            <w:proofErr w:type="spellEnd"/>
          </w:p>
        </w:tc>
        <w:tc>
          <w:tcPr>
            <w:tcW w:w="0" w:type="auto"/>
          </w:tcPr>
          <w:p w14:paraId="6DB41CB2" w14:textId="77777777" w:rsidR="00E74034" w:rsidRPr="00906185" w:rsidRDefault="00E74034" w:rsidP="008267B9">
            <w:pPr>
              <w:rPr>
                <w:rFonts w:ascii="Garamond" w:hAnsi="Garamond"/>
                <w:b/>
                <w:bCs/>
              </w:rPr>
            </w:pPr>
          </w:p>
        </w:tc>
      </w:tr>
      <w:tr w:rsidR="008267B9" w14:paraId="14F3607A" w14:textId="77777777" w:rsidTr="007F08C1">
        <w:tc>
          <w:tcPr>
            <w:tcW w:w="0" w:type="auto"/>
          </w:tcPr>
          <w:p w14:paraId="2A15FEC5" w14:textId="5642B70F" w:rsidR="008267B9" w:rsidRDefault="00E74034" w:rsidP="008267B9">
            <w:pPr>
              <w:rPr>
                <w:rFonts w:ascii="Garamond" w:hAnsi="Garamond"/>
              </w:rPr>
            </w:pPr>
            <w:r>
              <w:rPr>
                <w:rFonts w:ascii="Garamond" w:hAnsi="Garamond"/>
              </w:rPr>
              <w:t>9</w:t>
            </w:r>
          </w:p>
        </w:tc>
        <w:tc>
          <w:tcPr>
            <w:tcW w:w="0" w:type="auto"/>
          </w:tcPr>
          <w:p w14:paraId="28DB9453" w14:textId="2B4F7789" w:rsidR="008267B9" w:rsidRDefault="008267B9" w:rsidP="008267B9">
            <w:pPr>
              <w:rPr>
                <w:rFonts w:ascii="Garamond" w:hAnsi="Garamond"/>
              </w:rPr>
            </w:pPr>
            <w:r>
              <w:rPr>
                <w:rFonts w:ascii="Garamond" w:hAnsi="Garamond"/>
              </w:rPr>
              <w:t>10/19</w:t>
            </w:r>
          </w:p>
        </w:tc>
        <w:tc>
          <w:tcPr>
            <w:tcW w:w="0" w:type="auto"/>
          </w:tcPr>
          <w:p w14:paraId="395F6140" w14:textId="77777777" w:rsidR="00E74034" w:rsidRDefault="00E74034" w:rsidP="00E74034">
            <w:pPr>
              <w:rPr>
                <w:rFonts w:ascii="Garamond" w:hAnsi="Garamond"/>
              </w:rPr>
            </w:pPr>
            <w:r>
              <w:rPr>
                <w:rFonts w:ascii="Garamond" w:hAnsi="Garamond"/>
              </w:rPr>
              <w:t>Communication Campaigns and Media</w:t>
            </w:r>
          </w:p>
          <w:p w14:paraId="0AD5F5F1" w14:textId="5E5835A6" w:rsidR="008267B9" w:rsidRDefault="008267B9" w:rsidP="00E74034">
            <w:pPr>
              <w:rPr>
                <w:rFonts w:ascii="Garamond" w:hAnsi="Garamond"/>
              </w:rPr>
            </w:pPr>
          </w:p>
        </w:tc>
        <w:tc>
          <w:tcPr>
            <w:tcW w:w="0" w:type="auto"/>
          </w:tcPr>
          <w:p w14:paraId="7E0CA4F7" w14:textId="77777777" w:rsidR="00E74034" w:rsidRDefault="00E74034" w:rsidP="00E74034">
            <w:pPr>
              <w:rPr>
                <w:rFonts w:ascii="Garamond" w:hAnsi="Garamond"/>
              </w:rPr>
            </w:pPr>
            <w:proofErr w:type="spellStart"/>
            <w:r>
              <w:rPr>
                <w:rFonts w:ascii="Garamond" w:hAnsi="Garamond"/>
              </w:rPr>
              <w:t>Maresh</w:t>
            </w:r>
            <w:proofErr w:type="spellEnd"/>
          </w:p>
          <w:p w14:paraId="4621A27F" w14:textId="77777777" w:rsidR="00E74034" w:rsidRDefault="00E74034" w:rsidP="00E74034">
            <w:pPr>
              <w:rPr>
                <w:rFonts w:ascii="Garamond" w:hAnsi="Garamond"/>
              </w:rPr>
            </w:pPr>
            <w:proofErr w:type="spellStart"/>
            <w:r>
              <w:rPr>
                <w:rFonts w:ascii="Garamond" w:hAnsi="Garamond"/>
              </w:rPr>
              <w:t>Entman</w:t>
            </w:r>
            <w:proofErr w:type="spellEnd"/>
          </w:p>
          <w:p w14:paraId="4D48E475" w14:textId="7BC5B9A5" w:rsidR="008267B9" w:rsidRDefault="008267B9" w:rsidP="008267B9">
            <w:pPr>
              <w:rPr>
                <w:rFonts w:ascii="Garamond" w:hAnsi="Garamond"/>
              </w:rPr>
            </w:pPr>
          </w:p>
        </w:tc>
        <w:tc>
          <w:tcPr>
            <w:tcW w:w="0" w:type="auto"/>
          </w:tcPr>
          <w:p w14:paraId="00714868" w14:textId="7DF56461" w:rsidR="008267B9" w:rsidRPr="00906185" w:rsidRDefault="00E74034" w:rsidP="008267B9">
            <w:pPr>
              <w:rPr>
                <w:rFonts w:ascii="Garamond" w:hAnsi="Garamond"/>
                <w:b/>
                <w:bCs/>
              </w:rPr>
            </w:pPr>
            <w:r w:rsidRPr="00906185">
              <w:rPr>
                <w:rFonts w:ascii="Garamond" w:hAnsi="Garamond"/>
                <w:b/>
                <w:bCs/>
              </w:rPr>
              <w:t>Think Piece #4</w:t>
            </w:r>
          </w:p>
        </w:tc>
      </w:tr>
      <w:tr w:rsidR="008267B9" w14:paraId="4195C1E7" w14:textId="77777777" w:rsidTr="007F08C1">
        <w:tc>
          <w:tcPr>
            <w:tcW w:w="0" w:type="auto"/>
          </w:tcPr>
          <w:p w14:paraId="7BDAC047" w14:textId="335AED86" w:rsidR="008267B9" w:rsidRDefault="00E74034" w:rsidP="008267B9">
            <w:pPr>
              <w:rPr>
                <w:rFonts w:ascii="Garamond" w:hAnsi="Garamond"/>
              </w:rPr>
            </w:pPr>
            <w:r>
              <w:rPr>
                <w:rFonts w:ascii="Garamond" w:hAnsi="Garamond"/>
              </w:rPr>
              <w:t>10</w:t>
            </w:r>
          </w:p>
        </w:tc>
        <w:tc>
          <w:tcPr>
            <w:tcW w:w="0" w:type="auto"/>
          </w:tcPr>
          <w:p w14:paraId="120F5AA2" w14:textId="168F6A5E" w:rsidR="008267B9" w:rsidRDefault="008267B9" w:rsidP="008267B9">
            <w:pPr>
              <w:rPr>
                <w:rFonts w:ascii="Garamond" w:hAnsi="Garamond"/>
              </w:rPr>
            </w:pPr>
            <w:r>
              <w:rPr>
                <w:rFonts w:ascii="Garamond" w:hAnsi="Garamond"/>
              </w:rPr>
              <w:t>10/26</w:t>
            </w:r>
          </w:p>
        </w:tc>
        <w:tc>
          <w:tcPr>
            <w:tcW w:w="0" w:type="auto"/>
          </w:tcPr>
          <w:p w14:paraId="5951B85D" w14:textId="6D032DA1" w:rsidR="00E74034" w:rsidRPr="00E02297" w:rsidRDefault="00E74034" w:rsidP="00E74034">
            <w:pPr>
              <w:rPr>
                <w:rFonts w:ascii="Garamond" w:hAnsi="Garamond"/>
                <w:b/>
                <w:bCs/>
              </w:rPr>
            </w:pPr>
            <w:r w:rsidRPr="00E02297">
              <w:rPr>
                <w:rFonts w:ascii="Garamond" w:hAnsi="Garamond"/>
                <w:b/>
                <w:bCs/>
              </w:rPr>
              <w:t>Exam 2 (</w:t>
            </w:r>
            <w:r>
              <w:rPr>
                <w:rFonts w:ascii="Garamond" w:hAnsi="Garamond"/>
                <w:b/>
                <w:bCs/>
              </w:rPr>
              <w:t>entire period</w:t>
            </w:r>
            <w:r w:rsidRPr="00E02297">
              <w:rPr>
                <w:rFonts w:ascii="Garamond" w:hAnsi="Garamond"/>
                <w:b/>
                <w:bCs/>
              </w:rPr>
              <w:t>)</w:t>
            </w:r>
          </w:p>
          <w:p w14:paraId="7214AF9F" w14:textId="6CB3151D" w:rsidR="00E74034" w:rsidRDefault="00E74034" w:rsidP="00E74034">
            <w:pPr>
              <w:rPr>
                <w:rFonts w:ascii="Garamond" w:hAnsi="Garamond"/>
              </w:rPr>
            </w:pPr>
          </w:p>
        </w:tc>
        <w:tc>
          <w:tcPr>
            <w:tcW w:w="0" w:type="auto"/>
          </w:tcPr>
          <w:p w14:paraId="1EA25E80" w14:textId="14F6D23A" w:rsidR="008267B9" w:rsidRDefault="008267B9" w:rsidP="00E74034">
            <w:pPr>
              <w:rPr>
                <w:rFonts w:ascii="Garamond" w:hAnsi="Garamond"/>
              </w:rPr>
            </w:pPr>
          </w:p>
        </w:tc>
        <w:tc>
          <w:tcPr>
            <w:tcW w:w="0" w:type="auto"/>
          </w:tcPr>
          <w:p w14:paraId="5610122A" w14:textId="56726765" w:rsidR="008267B9" w:rsidRDefault="008267B9" w:rsidP="008267B9">
            <w:pPr>
              <w:rPr>
                <w:rFonts w:ascii="Garamond" w:hAnsi="Garamond"/>
              </w:rPr>
            </w:pPr>
          </w:p>
        </w:tc>
      </w:tr>
      <w:tr w:rsidR="008267B9" w14:paraId="7DC9E798" w14:textId="77777777" w:rsidTr="007F08C1">
        <w:tc>
          <w:tcPr>
            <w:tcW w:w="0" w:type="auto"/>
          </w:tcPr>
          <w:p w14:paraId="430AD875" w14:textId="1EF0B4B1" w:rsidR="008267B9" w:rsidRDefault="008267B9" w:rsidP="008267B9">
            <w:pPr>
              <w:rPr>
                <w:rFonts w:ascii="Garamond" w:hAnsi="Garamond"/>
              </w:rPr>
            </w:pPr>
            <w:r>
              <w:rPr>
                <w:rFonts w:ascii="Garamond" w:hAnsi="Garamond"/>
              </w:rPr>
              <w:t>1</w:t>
            </w:r>
            <w:r w:rsidR="00E74034">
              <w:rPr>
                <w:rFonts w:ascii="Garamond" w:hAnsi="Garamond"/>
              </w:rPr>
              <w:t>1</w:t>
            </w:r>
          </w:p>
        </w:tc>
        <w:tc>
          <w:tcPr>
            <w:tcW w:w="0" w:type="auto"/>
          </w:tcPr>
          <w:p w14:paraId="121ECD29" w14:textId="761B74D0" w:rsidR="008267B9" w:rsidRDefault="008267B9" w:rsidP="008267B9">
            <w:pPr>
              <w:rPr>
                <w:rFonts w:ascii="Garamond" w:hAnsi="Garamond"/>
              </w:rPr>
            </w:pPr>
            <w:r>
              <w:rPr>
                <w:rFonts w:ascii="Garamond" w:hAnsi="Garamond"/>
              </w:rPr>
              <w:t>11/2</w:t>
            </w:r>
          </w:p>
        </w:tc>
        <w:tc>
          <w:tcPr>
            <w:tcW w:w="0" w:type="auto"/>
          </w:tcPr>
          <w:p w14:paraId="42B14A67" w14:textId="43368D13" w:rsidR="008267B9" w:rsidRDefault="00E74034" w:rsidP="008267B9">
            <w:pPr>
              <w:rPr>
                <w:rFonts w:ascii="Garamond" w:hAnsi="Garamond"/>
              </w:rPr>
            </w:pPr>
            <w:r>
              <w:rPr>
                <w:rFonts w:ascii="Garamond" w:hAnsi="Garamond"/>
              </w:rPr>
              <w:t>Defining Propaganda</w:t>
            </w:r>
          </w:p>
        </w:tc>
        <w:tc>
          <w:tcPr>
            <w:tcW w:w="0" w:type="auto"/>
          </w:tcPr>
          <w:p w14:paraId="39CCF479" w14:textId="77777777" w:rsidR="008267B9" w:rsidRDefault="008267B9" w:rsidP="008267B9">
            <w:pPr>
              <w:rPr>
                <w:rFonts w:ascii="Garamond" w:hAnsi="Garamond"/>
              </w:rPr>
            </w:pPr>
            <w:r>
              <w:rPr>
                <w:rFonts w:ascii="Garamond" w:hAnsi="Garamond"/>
              </w:rPr>
              <w:t>Jowett &amp; O’Donnell</w:t>
            </w:r>
          </w:p>
          <w:p w14:paraId="7F4CEFDA" w14:textId="0D47BEF3" w:rsidR="008267B9" w:rsidRDefault="00E74034" w:rsidP="008267B9">
            <w:pPr>
              <w:rPr>
                <w:rFonts w:ascii="Garamond" w:hAnsi="Garamond"/>
              </w:rPr>
            </w:pPr>
            <w:r>
              <w:rPr>
                <w:rFonts w:ascii="Garamond" w:hAnsi="Garamond"/>
              </w:rPr>
              <w:t>Ellul</w:t>
            </w:r>
          </w:p>
          <w:p w14:paraId="26802736" w14:textId="459A85BE" w:rsidR="008267B9" w:rsidRDefault="008267B9" w:rsidP="008267B9">
            <w:pPr>
              <w:rPr>
                <w:rFonts w:ascii="Garamond" w:hAnsi="Garamond"/>
              </w:rPr>
            </w:pPr>
          </w:p>
        </w:tc>
        <w:tc>
          <w:tcPr>
            <w:tcW w:w="0" w:type="auto"/>
          </w:tcPr>
          <w:p w14:paraId="1D6D1BA2" w14:textId="77777777" w:rsidR="008267B9" w:rsidRDefault="008267B9" w:rsidP="008267B9">
            <w:pPr>
              <w:rPr>
                <w:rFonts w:ascii="Garamond" w:hAnsi="Garamond"/>
              </w:rPr>
            </w:pPr>
          </w:p>
        </w:tc>
      </w:tr>
      <w:tr w:rsidR="008267B9" w14:paraId="718CE6C7" w14:textId="77777777" w:rsidTr="007F08C1">
        <w:tc>
          <w:tcPr>
            <w:tcW w:w="0" w:type="auto"/>
          </w:tcPr>
          <w:p w14:paraId="174DB25F" w14:textId="1703C9FE" w:rsidR="008267B9" w:rsidRDefault="008267B9" w:rsidP="008267B9">
            <w:pPr>
              <w:rPr>
                <w:rFonts w:ascii="Garamond" w:hAnsi="Garamond"/>
              </w:rPr>
            </w:pPr>
            <w:r>
              <w:rPr>
                <w:rFonts w:ascii="Garamond" w:hAnsi="Garamond"/>
              </w:rPr>
              <w:t>1</w:t>
            </w:r>
            <w:r w:rsidR="00E74034">
              <w:rPr>
                <w:rFonts w:ascii="Garamond" w:hAnsi="Garamond"/>
              </w:rPr>
              <w:t>2</w:t>
            </w:r>
          </w:p>
        </w:tc>
        <w:tc>
          <w:tcPr>
            <w:tcW w:w="0" w:type="auto"/>
          </w:tcPr>
          <w:p w14:paraId="1AC0A887" w14:textId="4E0F8F72" w:rsidR="008267B9" w:rsidRDefault="008267B9" w:rsidP="008267B9">
            <w:pPr>
              <w:rPr>
                <w:rFonts w:ascii="Garamond" w:hAnsi="Garamond"/>
              </w:rPr>
            </w:pPr>
            <w:r>
              <w:rPr>
                <w:rFonts w:ascii="Garamond" w:hAnsi="Garamond"/>
              </w:rPr>
              <w:t>11/9</w:t>
            </w:r>
          </w:p>
        </w:tc>
        <w:tc>
          <w:tcPr>
            <w:tcW w:w="0" w:type="auto"/>
          </w:tcPr>
          <w:p w14:paraId="6F46ED41" w14:textId="2297A2DA" w:rsidR="008267B9" w:rsidRDefault="008267B9" w:rsidP="008267B9">
            <w:pPr>
              <w:rPr>
                <w:rFonts w:ascii="Garamond" w:hAnsi="Garamond"/>
              </w:rPr>
            </w:pPr>
            <w:r>
              <w:rPr>
                <w:rFonts w:ascii="Garamond" w:hAnsi="Garamond"/>
              </w:rPr>
              <w:t>Propaganda and Media</w:t>
            </w:r>
          </w:p>
          <w:p w14:paraId="6C0DF77E" w14:textId="7F4E05F1" w:rsidR="008267B9" w:rsidRDefault="008267B9" w:rsidP="008267B9">
            <w:pPr>
              <w:rPr>
                <w:rFonts w:ascii="Garamond" w:hAnsi="Garamond"/>
              </w:rPr>
            </w:pPr>
          </w:p>
        </w:tc>
        <w:tc>
          <w:tcPr>
            <w:tcW w:w="0" w:type="auto"/>
          </w:tcPr>
          <w:p w14:paraId="02DE1064" w14:textId="77777777" w:rsidR="008267B9" w:rsidRDefault="008267B9" w:rsidP="008267B9">
            <w:pPr>
              <w:rPr>
                <w:rFonts w:ascii="Garamond" w:hAnsi="Garamond"/>
              </w:rPr>
            </w:pPr>
            <w:proofErr w:type="spellStart"/>
            <w:r>
              <w:rPr>
                <w:rFonts w:ascii="Garamond" w:hAnsi="Garamond"/>
              </w:rPr>
              <w:t>Harsin</w:t>
            </w:r>
            <w:proofErr w:type="spellEnd"/>
          </w:p>
          <w:p w14:paraId="6EDC7C4E" w14:textId="3792E967" w:rsidR="00411EA3" w:rsidRDefault="00411EA3" w:rsidP="008267B9">
            <w:pPr>
              <w:rPr>
                <w:rFonts w:ascii="Garamond" w:hAnsi="Garamond"/>
              </w:rPr>
            </w:pPr>
            <w:r>
              <w:rPr>
                <w:rFonts w:ascii="Garamond" w:hAnsi="Garamond"/>
              </w:rPr>
              <w:t>Reading TBA</w:t>
            </w:r>
          </w:p>
        </w:tc>
        <w:tc>
          <w:tcPr>
            <w:tcW w:w="0" w:type="auto"/>
          </w:tcPr>
          <w:p w14:paraId="1B99ACF5" w14:textId="44C7C5F7" w:rsidR="008267B9" w:rsidRDefault="008267B9" w:rsidP="008267B9">
            <w:pPr>
              <w:rPr>
                <w:rFonts w:ascii="Garamond" w:hAnsi="Garamond"/>
              </w:rPr>
            </w:pPr>
          </w:p>
        </w:tc>
      </w:tr>
      <w:tr w:rsidR="008267B9" w14:paraId="0A27B194" w14:textId="77777777" w:rsidTr="007F08C1">
        <w:tc>
          <w:tcPr>
            <w:tcW w:w="0" w:type="auto"/>
          </w:tcPr>
          <w:p w14:paraId="7955299C" w14:textId="5CE3FD26" w:rsidR="008267B9" w:rsidRDefault="008267B9" w:rsidP="008267B9">
            <w:pPr>
              <w:rPr>
                <w:rFonts w:ascii="Garamond" w:hAnsi="Garamond"/>
              </w:rPr>
            </w:pPr>
            <w:r>
              <w:rPr>
                <w:rFonts w:ascii="Garamond" w:hAnsi="Garamond"/>
              </w:rPr>
              <w:t>1</w:t>
            </w:r>
            <w:r w:rsidR="00E74034">
              <w:rPr>
                <w:rFonts w:ascii="Garamond" w:hAnsi="Garamond"/>
              </w:rPr>
              <w:t>3</w:t>
            </w:r>
          </w:p>
        </w:tc>
        <w:tc>
          <w:tcPr>
            <w:tcW w:w="0" w:type="auto"/>
          </w:tcPr>
          <w:p w14:paraId="532A4400" w14:textId="4EACAAA8" w:rsidR="008267B9" w:rsidRDefault="008267B9" w:rsidP="008267B9">
            <w:pPr>
              <w:rPr>
                <w:rFonts w:ascii="Garamond" w:hAnsi="Garamond"/>
              </w:rPr>
            </w:pPr>
            <w:r>
              <w:rPr>
                <w:rFonts w:ascii="Garamond" w:hAnsi="Garamond"/>
              </w:rPr>
              <w:t>11/16</w:t>
            </w:r>
          </w:p>
        </w:tc>
        <w:tc>
          <w:tcPr>
            <w:tcW w:w="0" w:type="auto"/>
          </w:tcPr>
          <w:p w14:paraId="177FA2D2" w14:textId="57DB571E" w:rsidR="008267B9" w:rsidRDefault="008267B9" w:rsidP="008267B9">
            <w:pPr>
              <w:rPr>
                <w:rFonts w:ascii="Garamond" w:hAnsi="Garamond"/>
              </w:rPr>
            </w:pPr>
            <w:r>
              <w:rPr>
                <w:rFonts w:ascii="Garamond" w:hAnsi="Garamond"/>
              </w:rPr>
              <w:t>Propaganda, Dramatic Form, and Scapegoating</w:t>
            </w:r>
          </w:p>
        </w:tc>
        <w:tc>
          <w:tcPr>
            <w:tcW w:w="0" w:type="auto"/>
          </w:tcPr>
          <w:p w14:paraId="3CF238BD" w14:textId="77777777" w:rsidR="008267B9" w:rsidRDefault="008267B9" w:rsidP="008267B9">
            <w:pPr>
              <w:rPr>
                <w:rFonts w:ascii="Garamond" w:hAnsi="Garamond"/>
              </w:rPr>
            </w:pPr>
            <w:r>
              <w:rPr>
                <w:rFonts w:ascii="Garamond" w:hAnsi="Garamond"/>
              </w:rPr>
              <w:t>West &amp; Turner</w:t>
            </w:r>
          </w:p>
          <w:p w14:paraId="16961E92" w14:textId="0475BB58" w:rsidR="00411EA3" w:rsidRDefault="008267B9" w:rsidP="008267B9">
            <w:pPr>
              <w:rPr>
                <w:rFonts w:ascii="Garamond" w:hAnsi="Garamond"/>
              </w:rPr>
            </w:pPr>
            <w:r>
              <w:rPr>
                <w:rFonts w:ascii="Garamond" w:hAnsi="Garamond"/>
              </w:rPr>
              <w:t>Burke</w:t>
            </w:r>
          </w:p>
        </w:tc>
        <w:tc>
          <w:tcPr>
            <w:tcW w:w="0" w:type="auto"/>
          </w:tcPr>
          <w:p w14:paraId="181F7712" w14:textId="10EC2A14" w:rsidR="008267B9" w:rsidRPr="00906185" w:rsidRDefault="008267B9" w:rsidP="008267B9">
            <w:pPr>
              <w:rPr>
                <w:rFonts w:ascii="Garamond" w:hAnsi="Garamond"/>
                <w:b/>
                <w:bCs/>
              </w:rPr>
            </w:pPr>
            <w:r w:rsidRPr="00906185">
              <w:rPr>
                <w:rFonts w:ascii="Garamond" w:hAnsi="Garamond"/>
                <w:b/>
                <w:bCs/>
              </w:rPr>
              <w:t>APA Quiz Due</w:t>
            </w:r>
          </w:p>
        </w:tc>
      </w:tr>
      <w:tr w:rsidR="008267B9" w14:paraId="7136450A" w14:textId="77777777" w:rsidTr="002847A3">
        <w:trPr>
          <w:trHeight w:val="314"/>
        </w:trPr>
        <w:tc>
          <w:tcPr>
            <w:tcW w:w="0" w:type="auto"/>
          </w:tcPr>
          <w:p w14:paraId="62C94DA9" w14:textId="384E2D16" w:rsidR="008267B9" w:rsidRDefault="008267B9" w:rsidP="008267B9">
            <w:pPr>
              <w:rPr>
                <w:rFonts w:ascii="Garamond" w:hAnsi="Garamond"/>
              </w:rPr>
            </w:pPr>
            <w:r>
              <w:rPr>
                <w:rFonts w:ascii="Garamond" w:hAnsi="Garamond"/>
              </w:rPr>
              <w:t>1</w:t>
            </w:r>
            <w:r w:rsidR="00E74034">
              <w:rPr>
                <w:rFonts w:ascii="Garamond" w:hAnsi="Garamond"/>
              </w:rPr>
              <w:t>4</w:t>
            </w:r>
          </w:p>
        </w:tc>
        <w:tc>
          <w:tcPr>
            <w:tcW w:w="0" w:type="auto"/>
          </w:tcPr>
          <w:p w14:paraId="5FB536F1" w14:textId="4CCDF0C0" w:rsidR="008267B9" w:rsidRDefault="008267B9" w:rsidP="008267B9">
            <w:pPr>
              <w:rPr>
                <w:rFonts w:ascii="Garamond" w:hAnsi="Garamond"/>
              </w:rPr>
            </w:pPr>
            <w:r>
              <w:rPr>
                <w:rFonts w:ascii="Garamond" w:hAnsi="Garamond"/>
              </w:rPr>
              <w:t>11/23</w:t>
            </w:r>
          </w:p>
        </w:tc>
        <w:tc>
          <w:tcPr>
            <w:tcW w:w="0" w:type="auto"/>
          </w:tcPr>
          <w:p w14:paraId="4609A0A1" w14:textId="4E884CE3" w:rsidR="008267B9" w:rsidRDefault="008267B9" w:rsidP="008267B9">
            <w:pPr>
              <w:rPr>
                <w:rFonts w:ascii="Garamond" w:hAnsi="Garamond"/>
              </w:rPr>
            </w:pPr>
            <w:r>
              <w:rPr>
                <w:rFonts w:ascii="Garamond" w:hAnsi="Garamond"/>
              </w:rPr>
              <w:t>Conspiracy Theories</w:t>
            </w:r>
          </w:p>
        </w:tc>
        <w:tc>
          <w:tcPr>
            <w:tcW w:w="0" w:type="auto"/>
          </w:tcPr>
          <w:p w14:paraId="458EC1A3" w14:textId="77777777" w:rsidR="008267B9" w:rsidRDefault="008267B9" w:rsidP="008267B9">
            <w:pPr>
              <w:rPr>
                <w:rFonts w:ascii="Garamond" w:hAnsi="Garamond"/>
              </w:rPr>
            </w:pPr>
            <w:r>
              <w:rPr>
                <w:rFonts w:ascii="Garamond" w:hAnsi="Garamond"/>
              </w:rPr>
              <w:t>Keeley</w:t>
            </w:r>
          </w:p>
          <w:p w14:paraId="7A641B99" w14:textId="231D8D87" w:rsidR="008267B9" w:rsidRDefault="008267B9" w:rsidP="008267B9">
            <w:pPr>
              <w:rPr>
                <w:rFonts w:ascii="Garamond" w:hAnsi="Garamond"/>
              </w:rPr>
            </w:pPr>
            <w:r>
              <w:rPr>
                <w:rFonts w:ascii="Garamond" w:hAnsi="Garamond"/>
              </w:rPr>
              <w:t>Stewart</w:t>
            </w:r>
            <w:r w:rsidR="00FB6E21">
              <w:rPr>
                <w:rFonts w:ascii="Garamond" w:hAnsi="Garamond"/>
              </w:rPr>
              <w:t>/</w:t>
            </w:r>
            <w:r>
              <w:rPr>
                <w:rFonts w:ascii="Garamond" w:hAnsi="Garamond"/>
              </w:rPr>
              <w:t>Smith</w:t>
            </w:r>
            <w:r w:rsidR="00FB6E21">
              <w:rPr>
                <w:rFonts w:ascii="Garamond" w:hAnsi="Garamond"/>
              </w:rPr>
              <w:t>/</w:t>
            </w:r>
            <w:r>
              <w:rPr>
                <w:rFonts w:ascii="Garamond" w:hAnsi="Garamond"/>
              </w:rPr>
              <w:t>Denton</w:t>
            </w:r>
          </w:p>
        </w:tc>
        <w:tc>
          <w:tcPr>
            <w:tcW w:w="0" w:type="auto"/>
          </w:tcPr>
          <w:p w14:paraId="6D83B7FD" w14:textId="59301074" w:rsidR="008267B9" w:rsidRPr="00906185" w:rsidRDefault="008267B9" w:rsidP="008267B9">
            <w:pPr>
              <w:rPr>
                <w:rFonts w:ascii="Garamond" w:hAnsi="Garamond"/>
                <w:b/>
                <w:bCs/>
              </w:rPr>
            </w:pPr>
            <w:r w:rsidRPr="00906185">
              <w:rPr>
                <w:rFonts w:ascii="Garamond" w:hAnsi="Garamond"/>
                <w:b/>
                <w:bCs/>
              </w:rPr>
              <w:t>Think Piece #5</w:t>
            </w:r>
          </w:p>
        </w:tc>
      </w:tr>
      <w:tr w:rsidR="008267B9" w14:paraId="6450F93B" w14:textId="77777777" w:rsidTr="002847A3">
        <w:trPr>
          <w:trHeight w:val="48"/>
        </w:trPr>
        <w:tc>
          <w:tcPr>
            <w:tcW w:w="0" w:type="auto"/>
          </w:tcPr>
          <w:p w14:paraId="18B15040" w14:textId="512610F6" w:rsidR="008267B9" w:rsidRDefault="008267B9" w:rsidP="008267B9">
            <w:pPr>
              <w:rPr>
                <w:rFonts w:ascii="Garamond" w:hAnsi="Garamond"/>
              </w:rPr>
            </w:pPr>
            <w:r>
              <w:rPr>
                <w:rFonts w:ascii="Garamond" w:hAnsi="Garamond"/>
              </w:rPr>
              <w:t>1</w:t>
            </w:r>
            <w:r w:rsidR="00E74034">
              <w:rPr>
                <w:rFonts w:ascii="Garamond" w:hAnsi="Garamond"/>
              </w:rPr>
              <w:t>5</w:t>
            </w:r>
          </w:p>
        </w:tc>
        <w:tc>
          <w:tcPr>
            <w:tcW w:w="0" w:type="auto"/>
          </w:tcPr>
          <w:p w14:paraId="656053C1" w14:textId="12FCFB2E" w:rsidR="008267B9" w:rsidRDefault="008267B9" w:rsidP="008267B9">
            <w:pPr>
              <w:rPr>
                <w:rFonts w:ascii="Garamond" w:hAnsi="Garamond"/>
              </w:rPr>
            </w:pPr>
            <w:r>
              <w:rPr>
                <w:rFonts w:ascii="Garamond" w:hAnsi="Garamond"/>
              </w:rPr>
              <w:t>11/30</w:t>
            </w:r>
          </w:p>
        </w:tc>
        <w:tc>
          <w:tcPr>
            <w:tcW w:w="0" w:type="auto"/>
          </w:tcPr>
          <w:p w14:paraId="3B7A0F45" w14:textId="68D5BF8F" w:rsidR="008267B9" w:rsidRDefault="008267B9" w:rsidP="008267B9">
            <w:pPr>
              <w:rPr>
                <w:rFonts w:ascii="Garamond" w:hAnsi="Garamond"/>
              </w:rPr>
            </w:pPr>
            <w:r>
              <w:rPr>
                <w:rFonts w:ascii="Garamond" w:hAnsi="Garamond"/>
              </w:rPr>
              <w:t>Science and Persuasion</w:t>
            </w:r>
          </w:p>
        </w:tc>
        <w:tc>
          <w:tcPr>
            <w:tcW w:w="0" w:type="auto"/>
          </w:tcPr>
          <w:p w14:paraId="6B22CF47" w14:textId="77777777" w:rsidR="008267B9" w:rsidRDefault="008267B9" w:rsidP="008267B9">
            <w:pPr>
              <w:rPr>
                <w:rFonts w:ascii="Garamond" w:hAnsi="Garamond"/>
              </w:rPr>
            </w:pPr>
            <w:proofErr w:type="spellStart"/>
            <w:r>
              <w:rPr>
                <w:rFonts w:ascii="Garamond" w:hAnsi="Garamond"/>
              </w:rPr>
              <w:t>Hornsey</w:t>
            </w:r>
            <w:proofErr w:type="spellEnd"/>
            <w:r>
              <w:rPr>
                <w:rFonts w:ascii="Garamond" w:hAnsi="Garamond"/>
              </w:rPr>
              <w:t xml:space="preserve"> &amp; Fielding</w:t>
            </w:r>
          </w:p>
          <w:p w14:paraId="54A8A315" w14:textId="74E327C0" w:rsidR="008267B9" w:rsidRDefault="008267B9" w:rsidP="008267B9">
            <w:pPr>
              <w:rPr>
                <w:rFonts w:ascii="Garamond" w:hAnsi="Garamond"/>
              </w:rPr>
            </w:pPr>
            <w:r>
              <w:rPr>
                <w:rFonts w:ascii="Garamond" w:hAnsi="Garamond"/>
              </w:rPr>
              <w:t>Nisbet</w:t>
            </w:r>
          </w:p>
        </w:tc>
        <w:tc>
          <w:tcPr>
            <w:tcW w:w="0" w:type="auto"/>
          </w:tcPr>
          <w:p w14:paraId="64852E60" w14:textId="645F75FD" w:rsidR="008267B9" w:rsidRPr="00906185" w:rsidRDefault="008267B9" w:rsidP="008267B9">
            <w:pPr>
              <w:rPr>
                <w:rFonts w:ascii="Garamond" w:hAnsi="Garamond"/>
                <w:b/>
                <w:bCs/>
              </w:rPr>
            </w:pPr>
            <w:r w:rsidRPr="00906185">
              <w:rPr>
                <w:rFonts w:ascii="Garamond" w:hAnsi="Garamond"/>
                <w:b/>
                <w:bCs/>
              </w:rPr>
              <w:t>Propaganda Analysis Paper Due</w:t>
            </w:r>
          </w:p>
        </w:tc>
      </w:tr>
      <w:tr w:rsidR="008267B9" w14:paraId="36572FA9" w14:textId="77777777" w:rsidTr="007F08C1">
        <w:tc>
          <w:tcPr>
            <w:tcW w:w="0" w:type="auto"/>
          </w:tcPr>
          <w:p w14:paraId="2E4004B3" w14:textId="1EB5E5C8" w:rsidR="008267B9" w:rsidRDefault="008267B9" w:rsidP="008267B9">
            <w:pPr>
              <w:rPr>
                <w:rFonts w:ascii="Garamond" w:hAnsi="Garamond"/>
              </w:rPr>
            </w:pPr>
            <w:r>
              <w:rPr>
                <w:rFonts w:ascii="Garamond" w:hAnsi="Garamond"/>
              </w:rPr>
              <w:t>1</w:t>
            </w:r>
            <w:r w:rsidR="00E74034">
              <w:rPr>
                <w:rFonts w:ascii="Garamond" w:hAnsi="Garamond"/>
              </w:rPr>
              <w:t>6</w:t>
            </w:r>
          </w:p>
        </w:tc>
        <w:tc>
          <w:tcPr>
            <w:tcW w:w="0" w:type="auto"/>
          </w:tcPr>
          <w:p w14:paraId="690109DC" w14:textId="3388C302" w:rsidR="008267B9" w:rsidRDefault="008267B9" w:rsidP="008267B9">
            <w:pPr>
              <w:rPr>
                <w:rFonts w:ascii="Garamond" w:hAnsi="Garamond"/>
              </w:rPr>
            </w:pPr>
            <w:r>
              <w:rPr>
                <w:rFonts w:ascii="Garamond" w:hAnsi="Garamond"/>
              </w:rPr>
              <w:t>12/7</w:t>
            </w:r>
          </w:p>
        </w:tc>
        <w:tc>
          <w:tcPr>
            <w:tcW w:w="0" w:type="auto"/>
          </w:tcPr>
          <w:p w14:paraId="0BF19066" w14:textId="77777777" w:rsidR="008267B9" w:rsidRDefault="008267B9" w:rsidP="008267B9">
            <w:pPr>
              <w:rPr>
                <w:rFonts w:ascii="Garamond" w:hAnsi="Garamond"/>
                <w:b/>
                <w:bCs/>
              </w:rPr>
            </w:pPr>
            <w:r w:rsidRPr="002847A3">
              <w:rPr>
                <w:rFonts w:ascii="Garamond" w:hAnsi="Garamond"/>
                <w:b/>
                <w:bCs/>
              </w:rPr>
              <w:t>Exam 3 (entire period)</w:t>
            </w:r>
          </w:p>
          <w:p w14:paraId="67E43E05" w14:textId="113DD3C3" w:rsidR="00E74034" w:rsidRPr="002847A3" w:rsidRDefault="00E74034" w:rsidP="008267B9">
            <w:pPr>
              <w:rPr>
                <w:rFonts w:ascii="Garamond" w:hAnsi="Garamond"/>
                <w:b/>
                <w:bCs/>
              </w:rPr>
            </w:pPr>
          </w:p>
        </w:tc>
        <w:tc>
          <w:tcPr>
            <w:tcW w:w="0" w:type="auto"/>
          </w:tcPr>
          <w:p w14:paraId="3A2C44BF" w14:textId="57F21240" w:rsidR="008267B9" w:rsidRDefault="008267B9" w:rsidP="008267B9">
            <w:pPr>
              <w:rPr>
                <w:rFonts w:ascii="Garamond" w:hAnsi="Garamond"/>
              </w:rPr>
            </w:pPr>
          </w:p>
        </w:tc>
        <w:tc>
          <w:tcPr>
            <w:tcW w:w="0" w:type="auto"/>
          </w:tcPr>
          <w:p w14:paraId="4F5621B0" w14:textId="77777777" w:rsidR="008267B9" w:rsidRDefault="008267B9" w:rsidP="008267B9">
            <w:pPr>
              <w:rPr>
                <w:rFonts w:ascii="Garamond" w:hAnsi="Garamond"/>
              </w:rPr>
            </w:pPr>
          </w:p>
        </w:tc>
      </w:tr>
      <w:tr w:rsidR="008267B9" w14:paraId="4D3CC598" w14:textId="77777777" w:rsidTr="007F08C1">
        <w:tc>
          <w:tcPr>
            <w:tcW w:w="0" w:type="auto"/>
          </w:tcPr>
          <w:p w14:paraId="5351EC13" w14:textId="5AA1EE3F" w:rsidR="008267B9" w:rsidRDefault="00E74034" w:rsidP="008267B9">
            <w:pPr>
              <w:rPr>
                <w:rFonts w:ascii="Garamond" w:hAnsi="Garamond"/>
              </w:rPr>
            </w:pPr>
            <w:r>
              <w:rPr>
                <w:rFonts w:ascii="Garamond" w:hAnsi="Garamond"/>
              </w:rPr>
              <w:t>Finals</w:t>
            </w:r>
          </w:p>
        </w:tc>
        <w:tc>
          <w:tcPr>
            <w:tcW w:w="0" w:type="auto"/>
          </w:tcPr>
          <w:p w14:paraId="08DA88E5" w14:textId="7D60C240" w:rsidR="008267B9" w:rsidRDefault="008267B9" w:rsidP="008267B9">
            <w:pPr>
              <w:rPr>
                <w:rFonts w:ascii="Garamond" w:hAnsi="Garamond"/>
              </w:rPr>
            </w:pPr>
            <w:r>
              <w:rPr>
                <w:rFonts w:ascii="Garamond" w:hAnsi="Garamond"/>
              </w:rPr>
              <w:t>12/14</w:t>
            </w:r>
          </w:p>
        </w:tc>
        <w:tc>
          <w:tcPr>
            <w:tcW w:w="0" w:type="auto"/>
          </w:tcPr>
          <w:p w14:paraId="42C27390" w14:textId="0EF9C9ED" w:rsidR="008267B9" w:rsidRDefault="008267B9" w:rsidP="008267B9">
            <w:pPr>
              <w:rPr>
                <w:rFonts w:ascii="Garamond" w:hAnsi="Garamond"/>
              </w:rPr>
            </w:pPr>
            <w:r>
              <w:rPr>
                <w:rFonts w:ascii="Garamond" w:hAnsi="Garamond"/>
              </w:rPr>
              <w:t>Final Presentations</w:t>
            </w:r>
          </w:p>
        </w:tc>
        <w:tc>
          <w:tcPr>
            <w:tcW w:w="0" w:type="auto"/>
          </w:tcPr>
          <w:p w14:paraId="38D821E5" w14:textId="1A10D77B" w:rsidR="00411EA3" w:rsidRDefault="00411EA3" w:rsidP="008267B9">
            <w:pPr>
              <w:rPr>
                <w:rFonts w:ascii="Garamond" w:hAnsi="Garamond"/>
              </w:rPr>
            </w:pPr>
          </w:p>
        </w:tc>
        <w:tc>
          <w:tcPr>
            <w:tcW w:w="0" w:type="auto"/>
          </w:tcPr>
          <w:p w14:paraId="56992C13" w14:textId="77777777" w:rsidR="008267B9" w:rsidRDefault="008267B9" w:rsidP="008267B9">
            <w:pPr>
              <w:rPr>
                <w:rFonts w:ascii="Garamond" w:hAnsi="Garamond"/>
              </w:rPr>
            </w:pPr>
          </w:p>
        </w:tc>
      </w:tr>
    </w:tbl>
    <w:p w14:paraId="422567E3" w14:textId="7C8AB881" w:rsidR="0031143E" w:rsidRPr="0019234A" w:rsidRDefault="006F263D" w:rsidP="00C12357">
      <w:pPr>
        <w:jc w:val="center"/>
        <w:rPr>
          <w:rFonts w:ascii="Garamond" w:hAnsi="Garamond"/>
          <w:b/>
          <w:bCs/>
        </w:rPr>
      </w:pPr>
      <w:r w:rsidRPr="006F263D">
        <w:rPr>
          <w:rFonts w:ascii="Garamond" w:hAnsi="Garamond"/>
          <w:b/>
          <w:bCs/>
        </w:rPr>
        <w:lastRenderedPageBreak/>
        <w:t>References</w:t>
      </w:r>
    </w:p>
    <w:p w14:paraId="540FE5BF" w14:textId="6DA2DF2B" w:rsidR="0031143E" w:rsidRDefault="0031143E" w:rsidP="006F263D">
      <w:pPr>
        <w:rPr>
          <w:rFonts w:ascii="Garamond" w:hAnsi="Garamond"/>
        </w:rPr>
      </w:pPr>
    </w:p>
    <w:p w14:paraId="195C42B3" w14:textId="72BAB84E" w:rsidR="0095636A" w:rsidRDefault="0095636A" w:rsidP="0095636A">
      <w:pPr>
        <w:spacing w:line="480" w:lineRule="auto"/>
        <w:ind w:left="720" w:hanging="720"/>
        <w:rPr>
          <w:rFonts w:ascii="Garamond" w:hAnsi="Garamond"/>
        </w:rPr>
      </w:pPr>
      <w:r w:rsidRPr="0095636A">
        <w:rPr>
          <w:rFonts w:ascii="Garamond" w:hAnsi="Garamond"/>
        </w:rPr>
        <w:t xml:space="preserve">Aiello, G. (2006). Theoretical </w:t>
      </w:r>
      <w:r>
        <w:rPr>
          <w:rFonts w:ascii="Garamond" w:hAnsi="Garamond"/>
        </w:rPr>
        <w:t>a</w:t>
      </w:r>
      <w:r w:rsidRPr="0095636A">
        <w:rPr>
          <w:rFonts w:ascii="Garamond" w:hAnsi="Garamond"/>
        </w:rPr>
        <w:t xml:space="preserve">dvances in </w:t>
      </w:r>
      <w:r>
        <w:rPr>
          <w:rFonts w:ascii="Garamond" w:hAnsi="Garamond"/>
        </w:rPr>
        <w:t>c</w:t>
      </w:r>
      <w:r w:rsidRPr="0095636A">
        <w:rPr>
          <w:rFonts w:ascii="Garamond" w:hAnsi="Garamond"/>
        </w:rPr>
        <w:t xml:space="preserve">ritical </w:t>
      </w:r>
      <w:r>
        <w:rPr>
          <w:rFonts w:ascii="Garamond" w:hAnsi="Garamond"/>
        </w:rPr>
        <w:t>v</w:t>
      </w:r>
      <w:r w:rsidRPr="0095636A">
        <w:rPr>
          <w:rFonts w:ascii="Garamond" w:hAnsi="Garamond"/>
        </w:rPr>
        <w:t xml:space="preserve">isual </w:t>
      </w:r>
      <w:r>
        <w:rPr>
          <w:rFonts w:ascii="Garamond" w:hAnsi="Garamond"/>
        </w:rPr>
        <w:t>a</w:t>
      </w:r>
      <w:r w:rsidRPr="0095636A">
        <w:rPr>
          <w:rFonts w:ascii="Garamond" w:hAnsi="Garamond"/>
        </w:rPr>
        <w:t xml:space="preserve">nalysis: Perception, </w:t>
      </w:r>
      <w:r>
        <w:rPr>
          <w:rFonts w:ascii="Garamond" w:hAnsi="Garamond"/>
        </w:rPr>
        <w:t>i</w:t>
      </w:r>
      <w:r w:rsidRPr="0095636A">
        <w:rPr>
          <w:rFonts w:ascii="Garamond" w:hAnsi="Garamond"/>
        </w:rPr>
        <w:t xml:space="preserve">deology, </w:t>
      </w:r>
      <w:r>
        <w:rPr>
          <w:rFonts w:ascii="Garamond" w:hAnsi="Garamond"/>
        </w:rPr>
        <w:t>m</w:t>
      </w:r>
      <w:r w:rsidRPr="0095636A">
        <w:rPr>
          <w:rFonts w:ascii="Garamond" w:hAnsi="Garamond"/>
        </w:rPr>
        <w:t xml:space="preserve">ythologies, and </w:t>
      </w:r>
      <w:r>
        <w:rPr>
          <w:rFonts w:ascii="Garamond" w:hAnsi="Garamond"/>
        </w:rPr>
        <w:t>s</w:t>
      </w:r>
      <w:r w:rsidRPr="0095636A">
        <w:rPr>
          <w:rFonts w:ascii="Garamond" w:hAnsi="Garamond"/>
        </w:rPr>
        <w:t xml:space="preserve">ocial </w:t>
      </w:r>
      <w:r>
        <w:rPr>
          <w:rFonts w:ascii="Garamond" w:hAnsi="Garamond"/>
        </w:rPr>
        <w:t>s</w:t>
      </w:r>
      <w:r w:rsidRPr="0095636A">
        <w:rPr>
          <w:rFonts w:ascii="Garamond" w:hAnsi="Garamond"/>
        </w:rPr>
        <w:t>emiotics. </w:t>
      </w:r>
      <w:r w:rsidRPr="0095636A">
        <w:rPr>
          <w:rFonts w:ascii="Garamond" w:hAnsi="Garamond"/>
          <w:i/>
          <w:iCs/>
        </w:rPr>
        <w:t>Journal of Visual Literacy</w:t>
      </w:r>
      <w:r w:rsidRPr="0095636A">
        <w:rPr>
          <w:rFonts w:ascii="Garamond" w:hAnsi="Garamond"/>
        </w:rPr>
        <w:t>, </w:t>
      </w:r>
      <w:r w:rsidRPr="0095636A">
        <w:rPr>
          <w:rFonts w:ascii="Garamond" w:hAnsi="Garamond"/>
          <w:i/>
          <w:iCs/>
        </w:rPr>
        <w:t>26</w:t>
      </w:r>
      <w:r w:rsidRPr="0095636A">
        <w:rPr>
          <w:rFonts w:ascii="Garamond" w:hAnsi="Garamond"/>
        </w:rPr>
        <w:t xml:space="preserve">(2), 89–102. </w:t>
      </w:r>
      <w:hyperlink r:id="rId14" w:history="1">
        <w:r w:rsidRPr="0095636A">
          <w:rPr>
            <w:rStyle w:val="Hyperlink"/>
            <w:rFonts w:ascii="Garamond" w:hAnsi="Garamond"/>
          </w:rPr>
          <w:t>https://doi-org.unr.idm.oclc.org/10.1080/23796529.2006.11674635</w:t>
        </w:r>
      </w:hyperlink>
      <w:r>
        <w:rPr>
          <w:rFonts w:ascii="Garamond" w:hAnsi="Garamond"/>
        </w:rPr>
        <w:t xml:space="preserve"> </w:t>
      </w:r>
    </w:p>
    <w:p w14:paraId="151C64BA" w14:textId="5EDD06C7" w:rsidR="0031143E" w:rsidRDefault="0031143E" w:rsidP="00606956">
      <w:pPr>
        <w:spacing w:line="480" w:lineRule="auto"/>
        <w:ind w:left="720" w:hanging="720"/>
        <w:rPr>
          <w:rFonts w:ascii="Garamond" w:hAnsi="Garamond"/>
        </w:rPr>
      </w:pPr>
      <w:r>
        <w:rPr>
          <w:rFonts w:ascii="Garamond" w:hAnsi="Garamond"/>
        </w:rPr>
        <w:t>Borchers</w:t>
      </w:r>
      <w:r w:rsidR="009E1AA2">
        <w:rPr>
          <w:rFonts w:ascii="Garamond" w:hAnsi="Garamond"/>
        </w:rPr>
        <w:t>, T. &amp; Hundley, H</w:t>
      </w:r>
      <w:r>
        <w:rPr>
          <w:rFonts w:ascii="Garamond" w:hAnsi="Garamond"/>
        </w:rPr>
        <w:t>.</w:t>
      </w:r>
      <w:r w:rsidR="009E1AA2">
        <w:rPr>
          <w:rFonts w:ascii="Garamond" w:hAnsi="Garamond"/>
        </w:rPr>
        <w:t xml:space="preserve"> (2018). Rhetoric as persuasion. </w:t>
      </w:r>
      <w:r w:rsidR="009E1AA2">
        <w:rPr>
          <w:rFonts w:ascii="Garamond" w:hAnsi="Garamond"/>
          <w:i/>
          <w:iCs/>
        </w:rPr>
        <w:t>Rhetorical theory</w:t>
      </w:r>
      <w:r w:rsidR="009E1AA2">
        <w:rPr>
          <w:rFonts w:ascii="Garamond" w:hAnsi="Garamond"/>
        </w:rPr>
        <w:t xml:space="preserve">: </w:t>
      </w:r>
      <w:r w:rsidR="009E1AA2">
        <w:rPr>
          <w:rFonts w:ascii="Garamond" w:hAnsi="Garamond"/>
          <w:i/>
          <w:iCs/>
        </w:rPr>
        <w:t xml:space="preserve">An introduction </w:t>
      </w:r>
      <w:r w:rsidR="009E1AA2">
        <w:rPr>
          <w:rFonts w:ascii="Garamond" w:hAnsi="Garamond"/>
        </w:rPr>
        <w:t>(</w:t>
      </w:r>
      <w:r w:rsidR="00510388">
        <w:rPr>
          <w:rFonts w:ascii="Garamond" w:hAnsi="Garamond"/>
        </w:rPr>
        <w:t>2</w:t>
      </w:r>
      <w:r w:rsidR="00510388" w:rsidRPr="00510388">
        <w:rPr>
          <w:rFonts w:ascii="Garamond" w:hAnsi="Garamond"/>
          <w:vertAlign w:val="superscript"/>
        </w:rPr>
        <w:t>nd</w:t>
      </w:r>
      <w:r w:rsidR="00510388">
        <w:rPr>
          <w:rFonts w:ascii="Garamond" w:hAnsi="Garamond"/>
        </w:rPr>
        <w:t xml:space="preserve"> ed; pp. 27-56</w:t>
      </w:r>
      <w:r w:rsidR="009E1AA2">
        <w:rPr>
          <w:rFonts w:ascii="Garamond" w:hAnsi="Garamond"/>
        </w:rPr>
        <w:t>). Waveland.</w:t>
      </w:r>
    </w:p>
    <w:p w14:paraId="691E5596" w14:textId="09762AC3" w:rsidR="00FB6E21" w:rsidRPr="00FB6E21" w:rsidRDefault="00FB6E21" w:rsidP="00FB6E21">
      <w:pPr>
        <w:spacing w:line="480" w:lineRule="auto"/>
        <w:ind w:left="720" w:hanging="720"/>
        <w:rPr>
          <w:rFonts w:ascii="Garamond" w:eastAsia="Times New Roman" w:hAnsi="Garamond" w:cs="Times New Roman"/>
        </w:rPr>
      </w:pPr>
      <w:proofErr w:type="spellStart"/>
      <w:r w:rsidRPr="00FB6E21">
        <w:rPr>
          <w:rFonts w:ascii="Garamond" w:hAnsi="Garamond"/>
        </w:rPr>
        <w:t>Bullee</w:t>
      </w:r>
      <w:proofErr w:type="spellEnd"/>
      <w:r>
        <w:rPr>
          <w:rFonts w:ascii="Garamond" w:hAnsi="Garamond"/>
        </w:rPr>
        <w:t xml:space="preserve">, J.W.H., Montoya, L, Pieters, W., Junger, M. &amp; </w:t>
      </w:r>
      <w:proofErr w:type="spellStart"/>
      <w:r>
        <w:rPr>
          <w:rFonts w:ascii="Garamond" w:hAnsi="Garamond"/>
        </w:rPr>
        <w:t>Hartel</w:t>
      </w:r>
      <w:proofErr w:type="spellEnd"/>
      <w:r>
        <w:rPr>
          <w:rFonts w:ascii="Garamond" w:hAnsi="Garamond"/>
        </w:rPr>
        <w:t xml:space="preserve">, </w:t>
      </w:r>
      <w:proofErr w:type="gramStart"/>
      <w:r>
        <w:rPr>
          <w:rFonts w:ascii="Garamond" w:hAnsi="Garamond"/>
        </w:rPr>
        <w:t>P.H.</w:t>
      </w:r>
      <w:r w:rsidRPr="00FB6E21">
        <w:rPr>
          <w:rFonts w:ascii="Garamond" w:hAnsi="Garamond"/>
        </w:rPr>
        <w:t>.</w:t>
      </w:r>
      <w:proofErr w:type="gramEnd"/>
      <w:r w:rsidRPr="00FB6E21">
        <w:rPr>
          <w:rFonts w:ascii="Garamond" w:hAnsi="Garamond"/>
        </w:rPr>
        <w:t xml:space="preserve"> (2015). The persuasion and security awareness experiment: Reducing the success of social engineering attacks. </w:t>
      </w:r>
      <w:r w:rsidRPr="00FB6E21">
        <w:rPr>
          <w:rFonts w:ascii="Garamond" w:hAnsi="Garamond"/>
          <w:i/>
          <w:iCs/>
        </w:rPr>
        <w:t>Journal of Experimental Criminology</w:t>
      </w:r>
      <w:r w:rsidRPr="00FB6E21">
        <w:rPr>
          <w:rFonts w:ascii="Garamond" w:hAnsi="Garamond"/>
        </w:rPr>
        <w:t xml:space="preserve">, </w:t>
      </w:r>
      <w:r w:rsidRPr="00FB6E21">
        <w:rPr>
          <w:rFonts w:ascii="Garamond" w:hAnsi="Garamond"/>
          <w:i/>
          <w:iCs/>
        </w:rPr>
        <w:t>11</w:t>
      </w:r>
      <w:r w:rsidRPr="00FB6E21">
        <w:rPr>
          <w:rFonts w:ascii="Garamond" w:hAnsi="Garamond"/>
        </w:rPr>
        <w:t xml:space="preserve">, 97-115. </w:t>
      </w:r>
      <w:hyperlink r:id="rId15" w:history="1">
        <w:r w:rsidRPr="00FC2DA1">
          <w:rPr>
            <w:rStyle w:val="Hyperlink"/>
            <w:rFonts w:ascii="Garamond" w:hAnsi="Garamond"/>
          </w:rPr>
          <w:t>https://doi.org/</w:t>
        </w:r>
        <w:r w:rsidRPr="00FC2DA1">
          <w:rPr>
            <w:rStyle w:val="Hyperlink"/>
            <w:rFonts w:ascii="Garamond" w:eastAsia="Times New Roman" w:hAnsi="Garamond" w:cs="Times New Roman"/>
          </w:rPr>
          <w:t>10.1007/s11292-014-9222-7</w:t>
        </w:r>
      </w:hyperlink>
    </w:p>
    <w:p w14:paraId="39D49CB8" w14:textId="02716DFB" w:rsidR="0019234A" w:rsidRDefault="0031143E" w:rsidP="00411EA3">
      <w:pPr>
        <w:spacing w:line="480" w:lineRule="auto"/>
        <w:ind w:left="720" w:hanging="720"/>
        <w:rPr>
          <w:rFonts w:ascii="Garamond" w:hAnsi="Garamond"/>
        </w:rPr>
      </w:pPr>
      <w:r>
        <w:rPr>
          <w:rFonts w:ascii="Garamond" w:hAnsi="Garamond"/>
        </w:rPr>
        <w:t>Burke, K. (1939</w:t>
      </w:r>
      <w:r w:rsidR="00411EA3">
        <w:rPr>
          <w:rFonts w:ascii="Garamond" w:hAnsi="Garamond"/>
        </w:rPr>
        <w:t>/1957</w:t>
      </w:r>
      <w:r>
        <w:rPr>
          <w:rFonts w:ascii="Garamond" w:hAnsi="Garamond"/>
        </w:rPr>
        <w:t>). The rhetoric of Hitler’s battle.</w:t>
      </w:r>
      <w:r w:rsidR="00652A61">
        <w:rPr>
          <w:rFonts w:ascii="Garamond" w:hAnsi="Garamond"/>
        </w:rPr>
        <w:t xml:space="preserve"> </w:t>
      </w:r>
      <w:r w:rsidR="00652A61">
        <w:rPr>
          <w:rFonts w:ascii="Garamond" w:hAnsi="Garamond"/>
          <w:i/>
          <w:iCs/>
        </w:rPr>
        <w:t xml:space="preserve">The </w:t>
      </w:r>
      <w:r w:rsidR="00411EA3">
        <w:rPr>
          <w:rFonts w:ascii="Garamond" w:hAnsi="Garamond"/>
          <w:i/>
          <w:iCs/>
        </w:rPr>
        <w:t xml:space="preserve">philosophy of literary form: Studies in symbolic action </w:t>
      </w:r>
      <w:r w:rsidR="00411EA3">
        <w:rPr>
          <w:rFonts w:ascii="Garamond" w:hAnsi="Garamond"/>
        </w:rPr>
        <w:t>(revised ed.; pp. 164-189)</w:t>
      </w:r>
      <w:r w:rsidR="00411EA3">
        <w:rPr>
          <w:rFonts w:ascii="Garamond" w:hAnsi="Garamond"/>
          <w:i/>
          <w:iCs/>
        </w:rPr>
        <w:t>.</w:t>
      </w:r>
      <w:r w:rsidR="00411EA3">
        <w:rPr>
          <w:rFonts w:ascii="Garamond" w:hAnsi="Garamond"/>
        </w:rPr>
        <w:t xml:space="preserve"> Vintage.</w:t>
      </w:r>
    </w:p>
    <w:p w14:paraId="070A5466" w14:textId="0200FA12" w:rsidR="0019234A" w:rsidRPr="00606956" w:rsidRDefault="0019234A" w:rsidP="00A05D74">
      <w:pPr>
        <w:spacing w:line="480" w:lineRule="auto"/>
        <w:ind w:left="720" w:hanging="720"/>
        <w:rPr>
          <w:rFonts w:ascii="Garamond" w:hAnsi="Garamond"/>
        </w:rPr>
      </w:pPr>
      <w:proofErr w:type="spellStart"/>
      <w:r>
        <w:rPr>
          <w:rFonts w:ascii="Garamond" w:hAnsi="Garamond"/>
        </w:rPr>
        <w:t>Entman</w:t>
      </w:r>
      <w:proofErr w:type="spellEnd"/>
      <w:r>
        <w:rPr>
          <w:rFonts w:ascii="Garamond" w:hAnsi="Garamond"/>
        </w:rPr>
        <w:t xml:space="preserve">, </w:t>
      </w:r>
      <w:r w:rsidR="00411EA3">
        <w:rPr>
          <w:rFonts w:ascii="Garamond" w:hAnsi="Garamond"/>
        </w:rPr>
        <w:t>R</w:t>
      </w:r>
      <w:r>
        <w:rPr>
          <w:rFonts w:ascii="Garamond" w:hAnsi="Garamond"/>
        </w:rPr>
        <w:t>.</w:t>
      </w:r>
      <w:r w:rsidR="00606956">
        <w:rPr>
          <w:rFonts w:ascii="Garamond" w:hAnsi="Garamond"/>
        </w:rPr>
        <w:t xml:space="preserve"> (19</w:t>
      </w:r>
      <w:r w:rsidR="00A05D74">
        <w:rPr>
          <w:rFonts w:ascii="Garamond" w:hAnsi="Garamond"/>
        </w:rPr>
        <w:t>93</w:t>
      </w:r>
      <w:r w:rsidR="00606956">
        <w:rPr>
          <w:rFonts w:ascii="Garamond" w:hAnsi="Garamond"/>
        </w:rPr>
        <w:t xml:space="preserve">). Framing: Toward clarification of a fractured paradigm. </w:t>
      </w:r>
      <w:r w:rsidR="00606956">
        <w:rPr>
          <w:rFonts w:ascii="Garamond" w:hAnsi="Garamond"/>
          <w:i/>
          <w:iCs/>
        </w:rPr>
        <w:t>Journal of Communication</w:t>
      </w:r>
      <w:r w:rsidR="00A05D74">
        <w:rPr>
          <w:rFonts w:ascii="Garamond" w:hAnsi="Garamond"/>
        </w:rPr>
        <w:t xml:space="preserve">, </w:t>
      </w:r>
      <w:r w:rsidR="00A05D74">
        <w:rPr>
          <w:rFonts w:ascii="Garamond" w:hAnsi="Garamond"/>
          <w:i/>
          <w:iCs/>
        </w:rPr>
        <w:t>43</w:t>
      </w:r>
      <w:r w:rsidR="00A05D74">
        <w:rPr>
          <w:rFonts w:ascii="Garamond" w:hAnsi="Garamond"/>
        </w:rPr>
        <w:t>(4), 51-59</w:t>
      </w:r>
      <w:r w:rsidR="00606956">
        <w:rPr>
          <w:rFonts w:ascii="Garamond" w:hAnsi="Garamond"/>
          <w:i/>
          <w:iCs/>
        </w:rPr>
        <w:t>.</w:t>
      </w:r>
      <w:r w:rsidR="00A05D74">
        <w:rPr>
          <w:rFonts w:ascii="Garamond" w:hAnsi="Garamond"/>
          <w:i/>
          <w:iCs/>
        </w:rPr>
        <w:t xml:space="preserve"> </w:t>
      </w:r>
      <w:hyperlink r:id="rId16" w:history="1">
        <w:r w:rsidR="00E74034" w:rsidRPr="00FC2DA1">
          <w:rPr>
            <w:rStyle w:val="Hyperlink"/>
            <w:rFonts w:ascii="Garamond" w:hAnsi="Garamond"/>
          </w:rPr>
          <w:t>https://doi.org/10.1111/j.1460-2466.1993.tb01304.x</w:t>
        </w:r>
      </w:hyperlink>
      <w:r w:rsidR="00E74034">
        <w:rPr>
          <w:rFonts w:ascii="Garamond" w:hAnsi="Garamond"/>
        </w:rPr>
        <w:t xml:space="preserve"> </w:t>
      </w:r>
    </w:p>
    <w:p w14:paraId="109DAFAB" w14:textId="74F285E7" w:rsidR="0019234A" w:rsidRDefault="0019234A" w:rsidP="00606956">
      <w:pPr>
        <w:spacing w:line="480" w:lineRule="auto"/>
        <w:ind w:left="720" w:hanging="720"/>
        <w:rPr>
          <w:rFonts w:ascii="Garamond" w:hAnsi="Garamond"/>
        </w:rPr>
      </w:pPr>
      <w:proofErr w:type="spellStart"/>
      <w:r>
        <w:rPr>
          <w:rFonts w:ascii="Garamond" w:hAnsi="Garamond"/>
        </w:rPr>
        <w:t>Frymier</w:t>
      </w:r>
      <w:proofErr w:type="spellEnd"/>
      <w:r w:rsidR="008E6812">
        <w:rPr>
          <w:rFonts w:ascii="Garamond" w:hAnsi="Garamond"/>
        </w:rPr>
        <w:t>, A.B.</w:t>
      </w:r>
      <w:r>
        <w:rPr>
          <w:rFonts w:ascii="Garamond" w:hAnsi="Garamond"/>
        </w:rPr>
        <w:t xml:space="preserve"> </w:t>
      </w:r>
      <w:r w:rsidR="008E6812">
        <w:rPr>
          <w:rFonts w:ascii="Garamond" w:hAnsi="Garamond"/>
        </w:rPr>
        <w:t>&amp;</w:t>
      </w:r>
      <w:r>
        <w:rPr>
          <w:rFonts w:ascii="Garamond" w:hAnsi="Garamond"/>
        </w:rPr>
        <w:t xml:space="preserve"> Nadler</w:t>
      </w:r>
      <w:r w:rsidR="008E6812">
        <w:rPr>
          <w:rFonts w:ascii="Garamond" w:hAnsi="Garamond"/>
        </w:rPr>
        <w:t>, M.K</w:t>
      </w:r>
      <w:r>
        <w:rPr>
          <w:rFonts w:ascii="Garamond" w:hAnsi="Garamond"/>
        </w:rPr>
        <w:t>.</w:t>
      </w:r>
      <w:r w:rsidR="008E6812">
        <w:rPr>
          <w:rFonts w:ascii="Garamond" w:hAnsi="Garamond"/>
        </w:rPr>
        <w:t xml:space="preserve"> (2007). The elaboration likelihood model. </w:t>
      </w:r>
      <w:r w:rsidR="008E6812">
        <w:rPr>
          <w:rFonts w:ascii="Garamond" w:hAnsi="Garamond"/>
          <w:i/>
          <w:iCs/>
        </w:rPr>
        <w:t>Persuasion</w:t>
      </w:r>
      <w:r w:rsidR="008E6812">
        <w:rPr>
          <w:rFonts w:ascii="Garamond" w:hAnsi="Garamond"/>
        </w:rPr>
        <w:t xml:space="preserve">: </w:t>
      </w:r>
      <w:r w:rsidR="008E6812">
        <w:rPr>
          <w:rFonts w:ascii="Garamond" w:hAnsi="Garamond"/>
          <w:i/>
          <w:iCs/>
        </w:rPr>
        <w:t>Integrating theory, research, and practice</w:t>
      </w:r>
      <w:r w:rsidR="008E6812">
        <w:rPr>
          <w:rFonts w:ascii="Garamond" w:hAnsi="Garamond"/>
        </w:rPr>
        <w:t xml:space="preserve"> (pp. 159-178). Kendall Hunt.</w:t>
      </w:r>
    </w:p>
    <w:p w14:paraId="39B0A928" w14:textId="1707ECE0" w:rsidR="0019234A" w:rsidRPr="00606956" w:rsidRDefault="0019234A" w:rsidP="00606956">
      <w:pPr>
        <w:spacing w:line="480" w:lineRule="auto"/>
        <w:ind w:left="720" w:hanging="720"/>
        <w:rPr>
          <w:rFonts w:ascii="Garamond" w:hAnsi="Garamond"/>
          <w:i/>
          <w:iCs/>
        </w:rPr>
      </w:pPr>
      <w:proofErr w:type="spellStart"/>
      <w:r>
        <w:rPr>
          <w:rFonts w:ascii="Garamond" w:hAnsi="Garamond"/>
        </w:rPr>
        <w:t>Gass</w:t>
      </w:r>
      <w:proofErr w:type="spellEnd"/>
      <w:r w:rsidR="008E6812">
        <w:rPr>
          <w:rFonts w:ascii="Garamond" w:hAnsi="Garamond"/>
        </w:rPr>
        <w:t>, R.H. &amp;</w:t>
      </w:r>
      <w:r>
        <w:rPr>
          <w:rFonts w:ascii="Garamond" w:hAnsi="Garamond"/>
        </w:rPr>
        <w:t xml:space="preserve"> Seiter</w:t>
      </w:r>
      <w:r w:rsidR="008E6812">
        <w:rPr>
          <w:rFonts w:ascii="Garamond" w:hAnsi="Garamond"/>
        </w:rPr>
        <w:t>, J.S. (2014). Attitudes and consistency</w:t>
      </w:r>
      <w:r>
        <w:rPr>
          <w:rFonts w:ascii="Garamond" w:hAnsi="Garamond"/>
        </w:rPr>
        <w:t>.</w:t>
      </w:r>
      <w:r w:rsidR="008E6812">
        <w:rPr>
          <w:rFonts w:ascii="Garamond" w:hAnsi="Garamond"/>
        </w:rPr>
        <w:t xml:space="preserve"> </w:t>
      </w:r>
      <w:r w:rsidR="008E6812">
        <w:rPr>
          <w:rFonts w:ascii="Garamond" w:hAnsi="Garamond"/>
          <w:i/>
          <w:iCs/>
        </w:rPr>
        <w:t>Persuasion</w:t>
      </w:r>
      <w:r w:rsidR="008E6812">
        <w:rPr>
          <w:rFonts w:ascii="Garamond" w:hAnsi="Garamond"/>
        </w:rPr>
        <w:t xml:space="preserve">: </w:t>
      </w:r>
      <w:r w:rsidR="008E6812">
        <w:rPr>
          <w:rFonts w:ascii="Garamond" w:hAnsi="Garamond"/>
          <w:i/>
          <w:iCs/>
        </w:rPr>
        <w:t>Social influence and compliance-gaining</w:t>
      </w:r>
      <w:r w:rsidR="008E6812">
        <w:rPr>
          <w:rFonts w:ascii="Garamond" w:hAnsi="Garamond"/>
        </w:rPr>
        <w:t xml:space="preserve"> (5</w:t>
      </w:r>
      <w:r w:rsidR="008E6812" w:rsidRPr="008E6812">
        <w:rPr>
          <w:rFonts w:ascii="Garamond" w:hAnsi="Garamond"/>
          <w:vertAlign w:val="superscript"/>
        </w:rPr>
        <w:t>th</w:t>
      </w:r>
      <w:r w:rsidR="008E6812">
        <w:rPr>
          <w:rFonts w:ascii="Garamond" w:hAnsi="Garamond"/>
        </w:rPr>
        <w:t xml:space="preserve"> ed.; pp. 43-68)</w:t>
      </w:r>
      <w:r w:rsidR="008E6812">
        <w:rPr>
          <w:rFonts w:ascii="Garamond" w:hAnsi="Garamond"/>
          <w:i/>
          <w:iCs/>
        </w:rPr>
        <w:t xml:space="preserve">. </w:t>
      </w:r>
    </w:p>
    <w:p w14:paraId="61930A98" w14:textId="26170DE4" w:rsidR="002847A3" w:rsidRDefault="0019234A" w:rsidP="00606956">
      <w:pPr>
        <w:spacing w:line="480" w:lineRule="auto"/>
        <w:ind w:left="720" w:hanging="720"/>
        <w:rPr>
          <w:rFonts w:ascii="Garamond" w:hAnsi="Garamond"/>
        </w:rPr>
      </w:pPr>
      <w:r>
        <w:rPr>
          <w:rFonts w:ascii="Garamond" w:hAnsi="Garamond"/>
        </w:rPr>
        <w:t>Griffin,</w:t>
      </w:r>
      <w:r w:rsidR="00510388">
        <w:rPr>
          <w:rFonts w:ascii="Garamond" w:hAnsi="Garamond"/>
        </w:rPr>
        <w:t xml:space="preserve"> E.;</w:t>
      </w:r>
      <w:r>
        <w:rPr>
          <w:rFonts w:ascii="Garamond" w:hAnsi="Garamond"/>
        </w:rPr>
        <w:t xml:space="preserve"> Ledbetter</w:t>
      </w:r>
      <w:r w:rsidR="00510388">
        <w:rPr>
          <w:rFonts w:ascii="Garamond" w:hAnsi="Garamond"/>
        </w:rPr>
        <w:t>, A.; &amp;</w:t>
      </w:r>
      <w:r>
        <w:rPr>
          <w:rFonts w:ascii="Garamond" w:hAnsi="Garamond"/>
        </w:rPr>
        <w:t xml:space="preserve"> Sparks</w:t>
      </w:r>
      <w:r w:rsidR="00510388">
        <w:rPr>
          <w:rFonts w:ascii="Garamond" w:hAnsi="Garamond"/>
        </w:rPr>
        <w:t>, G</w:t>
      </w:r>
      <w:r>
        <w:rPr>
          <w:rFonts w:ascii="Garamond" w:hAnsi="Garamond"/>
        </w:rPr>
        <w:t>.</w:t>
      </w:r>
      <w:r w:rsidR="00510388">
        <w:rPr>
          <w:rFonts w:ascii="Garamond" w:hAnsi="Garamond"/>
        </w:rPr>
        <w:t xml:space="preserve"> (2019). Social judgment theory of </w:t>
      </w:r>
      <w:proofErr w:type="spellStart"/>
      <w:r w:rsidR="00510388">
        <w:rPr>
          <w:rFonts w:ascii="Garamond" w:hAnsi="Garamond"/>
        </w:rPr>
        <w:t>Muzafer</w:t>
      </w:r>
      <w:proofErr w:type="spellEnd"/>
      <w:r w:rsidR="00510388">
        <w:rPr>
          <w:rFonts w:ascii="Garamond" w:hAnsi="Garamond"/>
        </w:rPr>
        <w:t xml:space="preserve"> </w:t>
      </w:r>
      <w:proofErr w:type="spellStart"/>
      <w:r w:rsidR="00510388">
        <w:rPr>
          <w:rFonts w:ascii="Garamond" w:hAnsi="Garamond"/>
        </w:rPr>
        <w:t>Sherif</w:t>
      </w:r>
      <w:proofErr w:type="spellEnd"/>
      <w:r w:rsidR="00510388">
        <w:rPr>
          <w:rFonts w:ascii="Garamond" w:hAnsi="Garamond"/>
        </w:rPr>
        <w:t xml:space="preserve">. </w:t>
      </w:r>
      <w:r w:rsidR="00510388">
        <w:rPr>
          <w:rFonts w:ascii="Garamond" w:hAnsi="Garamond"/>
          <w:i/>
          <w:iCs/>
        </w:rPr>
        <w:t xml:space="preserve">A first look at communication theory </w:t>
      </w:r>
      <w:r w:rsidR="00510388">
        <w:rPr>
          <w:rFonts w:ascii="Garamond" w:hAnsi="Garamond"/>
        </w:rPr>
        <w:t>(10</w:t>
      </w:r>
      <w:r w:rsidR="00510388" w:rsidRPr="00510388">
        <w:rPr>
          <w:rFonts w:ascii="Garamond" w:hAnsi="Garamond"/>
          <w:vertAlign w:val="superscript"/>
        </w:rPr>
        <w:t>th</w:t>
      </w:r>
      <w:r w:rsidR="00510388">
        <w:rPr>
          <w:rFonts w:ascii="Garamond" w:hAnsi="Garamond"/>
        </w:rPr>
        <w:t xml:space="preserve"> ed., pp. 171-181). McGraw-Hill.</w:t>
      </w:r>
    </w:p>
    <w:p w14:paraId="2346C757" w14:textId="474E6F25" w:rsidR="00FB6E21" w:rsidRDefault="00FB6E21" w:rsidP="00606956">
      <w:pPr>
        <w:spacing w:line="480" w:lineRule="auto"/>
        <w:ind w:left="720" w:hanging="720"/>
        <w:rPr>
          <w:rFonts w:ascii="Garamond" w:hAnsi="Garamond"/>
        </w:rPr>
      </w:pPr>
      <w:proofErr w:type="spellStart"/>
      <w:r>
        <w:rPr>
          <w:rFonts w:ascii="Garamond" w:hAnsi="Garamond"/>
        </w:rPr>
        <w:t>Harsin</w:t>
      </w:r>
      <w:proofErr w:type="spellEnd"/>
      <w:r>
        <w:rPr>
          <w:rFonts w:ascii="Garamond" w:hAnsi="Garamond"/>
        </w:rPr>
        <w:t xml:space="preserve">, J. Attention! Rumor bombs, affect, and managed democracy. In G.L. Henderson &amp; M.J. Braun (eds.), </w:t>
      </w:r>
      <w:r>
        <w:rPr>
          <w:rFonts w:ascii="Garamond" w:hAnsi="Garamond"/>
          <w:i/>
          <w:iCs/>
        </w:rPr>
        <w:t xml:space="preserve">Propaganda and rhetoric in democracy: History, theory, analysis </w:t>
      </w:r>
      <w:r>
        <w:rPr>
          <w:rFonts w:ascii="Garamond" w:hAnsi="Garamond"/>
        </w:rPr>
        <w:t>(pp. 202-222)</w:t>
      </w:r>
      <w:r w:rsidR="00411EA3">
        <w:rPr>
          <w:rFonts w:ascii="Garamond" w:hAnsi="Garamond"/>
        </w:rPr>
        <w:t>. SIU Press.</w:t>
      </w:r>
    </w:p>
    <w:p w14:paraId="7D5E2144" w14:textId="6B728435" w:rsidR="0031143E" w:rsidRPr="00606956" w:rsidRDefault="002847A3" w:rsidP="00606956">
      <w:pPr>
        <w:spacing w:line="480" w:lineRule="auto"/>
        <w:ind w:left="720" w:hanging="720"/>
        <w:rPr>
          <w:rFonts w:ascii="Garamond" w:eastAsia="Times New Roman" w:hAnsi="Garamond" w:cs="Times New Roman"/>
        </w:rPr>
      </w:pPr>
      <w:proofErr w:type="spellStart"/>
      <w:r w:rsidRPr="00AC7560">
        <w:rPr>
          <w:rFonts w:ascii="Garamond" w:hAnsi="Garamond"/>
        </w:rPr>
        <w:lastRenderedPageBreak/>
        <w:t>Hornsey</w:t>
      </w:r>
      <w:proofErr w:type="spellEnd"/>
      <w:r w:rsidRPr="00AC7560">
        <w:rPr>
          <w:rFonts w:ascii="Garamond" w:hAnsi="Garamond"/>
        </w:rPr>
        <w:t xml:space="preserve">, M.J. &amp; Hill, K.S. (2017). Attitude roots and </w:t>
      </w:r>
      <w:r w:rsidR="007B0486" w:rsidRPr="00AC7560">
        <w:rPr>
          <w:rFonts w:ascii="Garamond" w:hAnsi="Garamond"/>
        </w:rPr>
        <w:t>J</w:t>
      </w:r>
      <w:r w:rsidRPr="00AC7560">
        <w:rPr>
          <w:rFonts w:ascii="Garamond" w:hAnsi="Garamond"/>
        </w:rPr>
        <w:t xml:space="preserve">iu </w:t>
      </w:r>
      <w:r w:rsidR="007B0486" w:rsidRPr="00AC7560">
        <w:rPr>
          <w:rFonts w:ascii="Garamond" w:hAnsi="Garamond"/>
        </w:rPr>
        <w:t>J</w:t>
      </w:r>
      <w:r w:rsidRPr="00AC7560">
        <w:rPr>
          <w:rFonts w:ascii="Garamond" w:hAnsi="Garamond"/>
        </w:rPr>
        <w:t xml:space="preserve">itsu persuasion: Understanding and overcoming the motivated rejection of science. </w:t>
      </w:r>
      <w:r w:rsidRPr="00AC7560">
        <w:rPr>
          <w:rFonts w:ascii="Garamond" w:hAnsi="Garamond"/>
          <w:i/>
          <w:iCs/>
        </w:rPr>
        <w:t>American Psychologist</w:t>
      </w:r>
      <w:r w:rsidR="00AC7560" w:rsidRPr="00AC7560">
        <w:rPr>
          <w:rFonts w:ascii="Garamond" w:hAnsi="Garamond"/>
        </w:rPr>
        <w:t xml:space="preserve">, </w:t>
      </w:r>
      <w:r w:rsidR="00AC7560" w:rsidRPr="00AC7560">
        <w:rPr>
          <w:rFonts w:ascii="Garamond" w:hAnsi="Garamond"/>
          <w:i/>
          <w:iCs/>
        </w:rPr>
        <w:t>72</w:t>
      </w:r>
      <w:r w:rsidR="00AC7560" w:rsidRPr="00AC7560">
        <w:rPr>
          <w:rFonts w:ascii="Garamond" w:hAnsi="Garamond"/>
        </w:rPr>
        <w:t>(5): 459-473</w:t>
      </w:r>
      <w:r w:rsidRPr="00AC7560">
        <w:rPr>
          <w:rFonts w:ascii="Garamond" w:hAnsi="Garamond"/>
        </w:rPr>
        <w:t xml:space="preserve">. </w:t>
      </w:r>
      <w:hyperlink r:id="rId17" w:history="1">
        <w:r w:rsidR="00AC7560" w:rsidRPr="00FC2DA1">
          <w:rPr>
            <w:rStyle w:val="Hyperlink"/>
            <w:rFonts w:ascii="Garamond" w:hAnsi="Garamond"/>
          </w:rPr>
          <w:t>https://doi.org/</w:t>
        </w:r>
        <w:r w:rsidR="00AC7560" w:rsidRPr="00FC2DA1">
          <w:rPr>
            <w:rStyle w:val="Hyperlink"/>
            <w:rFonts w:ascii="Garamond" w:eastAsia="Times New Roman" w:hAnsi="Garamond" w:cs="Segoe UI"/>
            <w:shd w:val="clear" w:color="auto" w:fill="FFFFFF"/>
          </w:rPr>
          <w:t>10.1037/a0040437</w:t>
        </w:r>
      </w:hyperlink>
      <w:r w:rsidR="00AC7560">
        <w:rPr>
          <w:rFonts w:ascii="Garamond" w:eastAsia="Times New Roman" w:hAnsi="Garamond" w:cs="Segoe UI"/>
          <w:color w:val="212121"/>
          <w:shd w:val="clear" w:color="auto" w:fill="FFFFFF"/>
        </w:rPr>
        <w:t xml:space="preserve"> </w:t>
      </w:r>
    </w:p>
    <w:p w14:paraId="540DA37B" w14:textId="7639D635" w:rsidR="00411EA3" w:rsidRDefault="00411EA3" w:rsidP="00606956">
      <w:pPr>
        <w:spacing w:line="480" w:lineRule="auto"/>
        <w:ind w:left="720" w:hanging="720"/>
        <w:rPr>
          <w:rFonts w:ascii="Garamond" w:hAnsi="Garamond"/>
        </w:rPr>
      </w:pPr>
      <w:r>
        <w:rPr>
          <w:rFonts w:ascii="Garamond" w:hAnsi="Garamond"/>
        </w:rPr>
        <w:t>Jones, J. &amp; Simons, H.W. (20</w:t>
      </w:r>
      <w:r w:rsidR="00E74034">
        <w:rPr>
          <w:rFonts w:ascii="Garamond" w:hAnsi="Garamond"/>
        </w:rPr>
        <w:t>11</w:t>
      </w:r>
      <w:r>
        <w:rPr>
          <w:rFonts w:ascii="Garamond" w:hAnsi="Garamond"/>
        </w:rPr>
        <w:t xml:space="preserve">). </w:t>
      </w:r>
      <w:r>
        <w:rPr>
          <w:rFonts w:ascii="Garamond" w:hAnsi="Garamond"/>
          <w:i/>
          <w:iCs/>
        </w:rPr>
        <w:t>Persuasion in society</w:t>
      </w:r>
      <w:r>
        <w:rPr>
          <w:rFonts w:ascii="Garamond" w:hAnsi="Garamond"/>
        </w:rPr>
        <w:t xml:space="preserve">. Taylor and Francis. </w:t>
      </w:r>
    </w:p>
    <w:p w14:paraId="2C2AA1D9" w14:textId="003D8B17" w:rsidR="006F263D" w:rsidRPr="006F263D" w:rsidRDefault="0031143E" w:rsidP="00606956">
      <w:pPr>
        <w:spacing w:line="480" w:lineRule="auto"/>
        <w:ind w:left="720" w:hanging="720"/>
        <w:rPr>
          <w:rFonts w:ascii="Garamond" w:hAnsi="Garamond"/>
        </w:rPr>
      </w:pPr>
      <w:r>
        <w:rPr>
          <w:rFonts w:ascii="Garamond" w:hAnsi="Garamond"/>
        </w:rPr>
        <w:t>Jowett</w:t>
      </w:r>
      <w:r w:rsidR="007B0486">
        <w:rPr>
          <w:rFonts w:ascii="Garamond" w:hAnsi="Garamond"/>
        </w:rPr>
        <w:t>, G.A.</w:t>
      </w:r>
      <w:r>
        <w:rPr>
          <w:rFonts w:ascii="Garamond" w:hAnsi="Garamond"/>
        </w:rPr>
        <w:t xml:space="preserve"> &amp; O’Donnell</w:t>
      </w:r>
      <w:r w:rsidR="007B0486">
        <w:rPr>
          <w:rFonts w:ascii="Garamond" w:hAnsi="Garamond"/>
        </w:rPr>
        <w:t xml:space="preserve">, V. (2015). What is propaganda, and how does it differ from persuasion? </w:t>
      </w:r>
      <w:r w:rsidR="007B0486">
        <w:rPr>
          <w:rFonts w:ascii="Garamond" w:hAnsi="Garamond"/>
          <w:i/>
          <w:iCs/>
        </w:rPr>
        <w:t xml:space="preserve">Propaganda &amp; Persuasion </w:t>
      </w:r>
      <w:r w:rsidR="007B0486">
        <w:rPr>
          <w:rFonts w:ascii="Garamond" w:hAnsi="Garamond"/>
        </w:rPr>
        <w:t>(6</w:t>
      </w:r>
      <w:r w:rsidR="007B0486" w:rsidRPr="007B0486">
        <w:rPr>
          <w:rFonts w:ascii="Garamond" w:hAnsi="Garamond"/>
          <w:vertAlign w:val="superscript"/>
        </w:rPr>
        <w:t>th</w:t>
      </w:r>
      <w:r w:rsidR="007B0486">
        <w:rPr>
          <w:rFonts w:ascii="Garamond" w:hAnsi="Garamond"/>
        </w:rPr>
        <w:t xml:space="preserve"> ed.; pp. 1-54). SAGE.</w:t>
      </w:r>
    </w:p>
    <w:p w14:paraId="5BB82692" w14:textId="3A12B96D" w:rsidR="006F263D" w:rsidRDefault="006F263D" w:rsidP="00606956">
      <w:pPr>
        <w:spacing w:line="480" w:lineRule="auto"/>
        <w:ind w:left="720" w:hanging="720"/>
        <w:rPr>
          <w:rFonts w:ascii="Garamond" w:hAnsi="Garamond"/>
        </w:rPr>
      </w:pPr>
      <w:r w:rsidRPr="006F263D">
        <w:rPr>
          <w:rFonts w:ascii="Garamond" w:hAnsi="Garamond"/>
        </w:rPr>
        <w:t xml:space="preserve">Keeley, B.L. (1999). Of conspiracy theories. </w:t>
      </w:r>
      <w:r w:rsidRPr="006F263D">
        <w:rPr>
          <w:rFonts w:ascii="Garamond" w:hAnsi="Garamond"/>
          <w:i/>
          <w:iCs/>
        </w:rPr>
        <w:t>Journal of Philosophy, 96</w:t>
      </w:r>
      <w:r w:rsidRPr="006F263D">
        <w:rPr>
          <w:rFonts w:ascii="Garamond" w:hAnsi="Garamond"/>
        </w:rPr>
        <w:t>(3)</w:t>
      </w:r>
      <w:r w:rsidR="00E74034">
        <w:rPr>
          <w:rFonts w:ascii="Garamond" w:hAnsi="Garamond"/>
        </w:rPr>
        <w:t>,</w:t>
      </w:r>
      <w:r w:rsidRPr="006F263D">
        <w:rPr>
          <w:rFonts w:ascii="Garamond" w:hAnsi="Garamond"/>
        </w:rPr>
        <w:t xml:space="preserve"> pp. 109-126. </w:t>
      </w:r>
      <w:hyperlink r:id="rId18" w:tgtFrame="_blank" w:tooltip="This link opens in a new window" w:history="1">
        <w:r w:rsidRPr="006F263D">
          <w:rPr>
            <w:rStyle w:val="Hyperlink"/>
            <w:rFonts w:ascii="Garamond" w:hAnsi="Garamond"/>
            <w:color w:val="990000"/>
            <w:spacing w:val="-5"/>
            <w:sz w:val="21"/>
            <w:szCs w:val="21"/>
            <w:shd w:val="clear" w:color="auto" w:fill="FFFFFF"/>
          </w:rPr>
          <w:t>https://doi.org/10.2307/2564659</w:t>
        </w:r>
      </w:hyperlink>
    </w:p>
    <w:p w14:paraId="0294BCBA" w14:textId="740618E0" w:rsidR="00AC7560" w:rsidRPr="00AC7560" w:rsidRDefault="0019234A" w:rsidP="00606956">
      <w:pPr>
        <w:spacing w:line="480" w:lineRule="auto"/>
        <w:ind w:left="720" w:hanging="720"/>
        <w:rPr>
          <w:rFonts w:ascii="Times New Roman" w:eastAsia="Times New Roman" w:hAnsi="Times New Roman" w:cs="Times New Roman"/>
        </w:rPr>
      </w:pPr>
      <w:r>
        <w:rPr>
          <w:rFonts w:ascii="Garamond" w:hAnsi="Garamond"/>
        </w:rPr>
        <w:t>Leslie</w:t>
      </w:r>
      <w:r w:rsidR="00AC7560">
        <w:rPr>
          <w:rFonts w:ascii="Garamond" w:hAnsi="Garamond"/>
        </w:rPr>
        <w:t>, A</w:t>
      </w:r>
      <w:r>
        <w:rPr>
          <w:rFonts w:ascii="Garamond" w:hAnsi="Garamond"/>
        </w:rPr>
        <w:t>.</w:t>
      </w:r>
      <w:r w:rsidR="00AC7560">
        <w:rPr>
          <w:rFonts w:ascii="Garamond" w:hAnsi="Garamond"/>
        </w:rPr>
        <w:t xml:space="preserve"> (2015). How stories argue: The deep roots of storytelling in political rhetoric. </w:t>
      </w:r>
      <w:r w:rsidR="00AC7560">
        <w:rPr>
          <w:rFonts w:ascii="Garamond" w:hAnsi="Garamond"/>
          <w:i/>
          <w:iCs/>
        </w:rPr>
        <w:t>Storytelling, Self, &amp; Society</w:t>
      </w:r>
      <w:r w:rsidR="00AC7560">
        <w:rPr>
          <w:rFonts w:ascii="Garamond" w:hAnsi="Garamond"/>
        </w:rPr>
        <w:t xml:space="preserve">, </w:t>
      </w:r>
      <w:r w:rsidR="00AC7560">
        <w:rPr>
          <w:rFonts w:ascii="Garamond" w:hAnsi="Garamond"/>
          <w:i/>
          <w:iCs/>
        </w:rPr>
        <w:t>11</w:t>
      </w:r>
      <w:r w:rsidR="00AC7560">
        <w:rPr>
          <w:rFonts w:ascii="Garamond" w:hAnsi="Garamond"/>
        </w:rPr>
        <w:t xml:space="preserve">(1): 66-84. </w:t>
      </w:r>
      <w:hyperlink r:id="rId19" w:history="1">
        <w:r w:rsidR="00AC7560" w:rsidRPr="00AC7560">
          <w:rPr>
            <w:rStyle w:val="Hyperlink"/>
            <w:rFonts w:ascii="Garamond" w:hAnsi="Garamond"/>
          </w:rPr>
          <w:t>https://doi.org/</w:t>
        </w:r>
        <w:r w:rsidR="00AC7560" w:rsidRPr="00AC7560">
          <w:rPr>
            <w:rStyle w:val="Hyperlink"/>
            <w:rFonts w:ascii="Garamond" w:eastAsia="Times New Roman" w:hAnsi="Garamond" w:cs="Times New Roman"/>
            <w:spacing w:val="-5"/>
            <w:sz w:val="21"/>
            <w:szCs w:val="21"/>
          </w:rPr>
          <w:t>/10.13110/storselfsoci.11.1.0066</w:t>
        </w:r>
      </w:hyperlink>
    </w:p>
    <w:p w14:paraId="0743E19C" w14:textId="28F5508C" w:rsidR="0031143E" w:rsidRDefault="004626AD" w:rsidP="00606956">
      <w:pPr>
        <w:spacing w:line="480" w:lineRule="auto"/>
        <w:ind w:left="720" w:hanging="720"/>
        <w:rPr>
          <w:rFonts w:ascii="Garamond" w:hAnsi="Garamond"/>
        </w:rPr>
      </w:pPr>
      <w:proofErr w:type="spellStart"/>
      <w:r>
        <w:rPr>
          <w:rFonts w:ascii="Garamond" w:hAnsi="Garamond"/>
        </w:rPr>
        <w:t>Maresh</w:t>
      </w:r>
      <w:proofErr w:type="spellEnd"/>
      <w:r>
        <w:rPr>
          <w:rFonts w:ascii="Garamond" w:hAnsi="Garamond"/>
        </w:rPr>
        <w:t>, M. (2013). Persuasive communication campaigns.</w:t>
      </w:r>
      <w:r w:rsidR="008E6812">
        <w:rPr>
          <w:rFonts w:ascii="Garamond" w:hAnsi="Garamond"/>
        </w:rPr>
        <w:t xml:space="preserve"> In S. Wahl (ed.), </w:t>
      </w:r>
      <w:r w:rsidR="008E6812">
        <w:rPr>
          <w:rFonts w:ascii="Garamond" w:hAnsi="Garamond"/>
          <w:i/>
          <w:iCs/>
        </w:rPr>
        <w:t>Persuasion in your life</w:t>
      </w:r>
      <w:r w:rsidR="008E6812">
        <w:rPr>
          <w:rFonts w:ascii="Garamond" w:hAnsi="Garamond"/>
        </w:rPr>
        <w:t xml:space="preserve"> (pp. </w:t>
      </w:r>
      <w:r w:rsidR="00A45FD3">
        <w:rPr>
          <w:rFonts w:ascii="Garamond" w:hAnsi="Garamond"/>
        </w:rPr>
        <w:t>141-176). Pearson.</w:t>
      </w:r>
      <w:r>
        <w:rPr>
          <w:rFonts w:ascii="Garamond" w:hAnsi="Garamond"/>
        </w:rPr>
        <w:t xml:space="preserve"> </w:t>
      </w:r>
    </w:p>
    <w:p w14:paraId="3A42A188" w14:textId="661FD868" w:rsidR="00AC7560" w:rsidRDefault="00652A61" w:rsidP="00606956">
      <w:pPr>
        <w:spacing w:line="480" w:lineRule="auto"/>
        <w:ind w:left="720" w:hanging="720"/>
        <w:rPr>
          <w:rFonts w:ascii="Garamond" w:hAnsi="Garamond"/>
        </w:rPr>
      </w:pPr>
      <w:r w:rsidRPr="00652A61">
        <w:rPr>
          <w:rFonts w:ascii="Garamond" w:hAnsi="Garamond"/>
        </w:rPr>
        <w:t>Nisbet, M. C. (2009).</w:t>
      </w:r>
      <w:r>
        <w:rPr>
          <w:rFonts w:ascii="Garamond" w:hAnsi="Garamond"/>
        </w:rPr>
        <w:t xml:space="preserve"> Communicating climate change: Why frames matter for public engagement.</w:t>
      </w:r>
      <w:r w:rsidRPr="00652A61">
        <w:rPr>
          <w:rFonts w:ascii="Garamond" w:hAnsi="Garamond"/>
          <w:i/>
          <w:iCs/>
        </w:rPr>
        <w:t xml:space="preserve"> Environment: Science and policy for sustainable development</w:t>
      </w:r>
      <w:r w:rsidRPr="00652A61">
        <w:rPr>
          <w:rFonts w:ascii="Garamond" w:hAnsi="Garamond"/>
        </w:rPr>
        <w:t>, </w:t>
      </w:r>
      <w:r w:rsidRPr="00652A61">
        <w:rPr>
          <w:rFonts w:ascii="Garamond" w:hAnsi="Garamond"/>
          <w:i/>
          <w:iCs/>
        </w:rPr>
        <w:t>51</w:t>
      </w:r>
      <w:r w:rsidRPr="00652A61">
        <w:rPr>
          <w:rFonts w:ascii="Garamond" w:hAnsi="Garamond"/>
        </w:rPr>
        <w:t>(2), 12-23.</w:t>
      </w:r>
    </w:p>
    <w:p w14:paraId="5E7B64C6" w14:textId="6EBE0DE8" w:rsidR="0031143E" w:rsidRDefault="0031143E" w:rsidP="00606956">
      <w:pPr>
        <w:spacing w:line="480" w:lineRule="auto"/>
        <w:ind w:left="720" w:hanging="720"/>
        <w:rPr>
          <w:rFonts w:ascii="Garamond" w:hAnsi="Garamond"/>
        </w:rPr>
      </w:pPr>
      <w:proofErr w:type="spellStart"/>
      <w:r>
        <w:rPr>
          <w:rFonts w:ascii="Garamond" w:hAnsi="Garamond"/>
        </w:rPr>
        <w:t>Palczeswski</w:t>
      </w:r>
      <w:proofErr w:type="spellEnd"/>
      <w:r w:rsidR="009E1AA2">
        <w:rPr>
          <w:rFonts w:ascii="Garamond" w:hAnsi="Garamond"/>
        </w:rPr>
        <w:t xml:space="preserve">, C.H., Fritch, J. &amp; Ice, R. (2012). Narrative. </w:t>
      </w:r>
      <w:r w:rsidR="009E1AA2">
        <w:rPr>
          <w:rFonts w:ascii="Garamond" w:hAnsi="Garamond"/>
          <w:i/>
          <w:iCs/>
        </w:rPr>
        <w:t xml:space="preserve">Rhetoric in Civic Life. </w:t>
      </w:r>
      <w:r w:rsidR="009E1AA2">
        <w:rPr>
          <w:rFonts w:ascii="Garamond" w:hAnsi="Garamond"/>
        </w:rPr>
        <w:t>Strata.</w:t>
      </w:r>
    </w:p>
    <w:p w14:paraId="55923A85" w14:textId="0C286E5A" w:rsidR="00606956" w:rsidRDefault="0031143E" w:rsidP="00606956">
      <w:pPr>
        <w:spacing w:line="480" w:lineRule="auto"/>
        <w:ind w:left="720" w:hanging="720"/>
        <w:rPr>
          <w:rFonts w:ascii="Garamond" w:eastAsia="Times New Roman" w:hAnsi="Garamond" w:cs="Times New Roman"/>
        </w:rPr>
      </w:pPr>
      <w:r w:rsidRPr="009E1AA2">
        <w:rPr>
          <w:rFonts w:ascii="Garamond" w:hAnsi="Garamond"/>
        </w:rPr>
        <w:t>Phillips</w:t>
      </w:r>
      <w:r w:rsidR="009E1AA2" w:rsidRPr="009E1AA2">
        <w:rPr>
          <w:rFonts w:ascii="Garamond" w:hAnsi="Garamond"/>
        </w:rPr>
        <w:t>, B.J.</w:t>
      </w:r>
      <w:r w:rsidRPr="009E1AA2">
        <w:rPr>
          <w:rFonts w:ascii="Garamond" w:hAnsi="Garamond"/>
        </w:rPr>
        <w:t xml:space="preserve"> &amp; McQuarrie</w:t>
      </w:r>
      <w:r w:rsidR="009E1AA2" w:rsidRPr="009E1AA2">
        <w:rPr>
          <w:rFonts w:ascii="Garamond" w:hAnsi="Garamond"/>
        </w:rPr>
        <w:t>, E.F. (2004)</w:t>
      </w:r>
      <w:r w:rsidRPr="009E1AA2">
        <w:rPr>
          <w:rFonts w:ascii="Garamond" w:hAnsi="Garamond"/>
        </w:rPr>
        <w:t>.</w:t>
      </w:r>
      <w:r w:rsidR="009E1AA2" w:rsidRPr="009E1AA2">
        <w:rPr>
          <w:rFonts w:ascii="Garamond" w:hAnsi="Garamond"/>
        </w:rPr>
        <w:t xml:space="preserve"> Beyond visual metaphor: A new typology of visual rhetoric in advertising. </w:t>
      </w:r>
      <w:r w:rsidR="009E1AA2" w:rsidRPr="009E1AA2">
        <w:rPr>
          <w:rFonts w:ascii="Garamond" w:hAnsi="Garamond"/>
          <w:i/>
          <w:iCs/>
        </w:rPr>
        <w:t>Marketing Theory</w:t>
      </w:r>
      <w:r w:rsidR="009E1AA2" w:rsidRPr="009E1AA2">
        <w:rPr>
          <w:rFonts w:ascii="Garamond" w:hAnsi="Garamond"/>
        </w:rPr>
        <w:t xml:space="preserve">, </w:t>
      </w:r>
      <w:r w:rsidR="009E1AA2" w:rsidRPr="009E1AA2">
        <w:rPr>
          <w:rFonts w:ascii="Garamond" w:hAnsi="Garamond"/>
          <w:i/>
          <w:iCs/>
        </w:rPr>
        <w:t xml:space="preserve">4 </w:t>
      </w:r>
      <w:r w:rsidR="009E1AA2" w:rsidRPr="009E1AA2">
        <w:rPr>
          <w:rFonts w:ascii="Garamond" w:hAnsi="Garamond"/>
        </w:rPr>
        <w:t xml:space="preserve">(1-2): 113-136. </w:t>
      </w:r>
      <w:hyperlink r:id="rId20" w:history="1">
        <w:r w:rsidR="00606956" w:rsidRPr="00FC2DA1">
          <w:rPr>
            <w:rStyle w:val="Hyperlink"/>
            <w:rFonts w:ascii="Garamond" w:hAnsi="Garamond"/>
          </w:rPr>
          <w:t>https://doi.org/</w:t>
        </w:r>
        <w:r w:rsidR="00606956" w:rsidRPr="00FC2DA1">
          <w:rPr>
            <w:rStyle w:val="Hyperlink"/>
            <w:rFonts w:ascii="Garamond" w:eastAsia="Times New Roman" w:hAnsi="Garamond" w:cs="Times New Roman"/>
          </w:rPr>
          <w:t>10.1177/1470593104044089</w:t>
        </w:r>
      </w:hyperlink>
    </w:p>
    <w:p w14:paraId="6CF9A763" w14:textId="0E940052" w:rsidR="00FB6E21" w:rsidRPr="00FB6E21" w:rsidRDefault="00FB6E21" w:rsidP="00606956">
      <w:pPr>
        <w:spacing w:line="480" w:lineRule="auto"/>
        <w:ind w:left="720" w:hanging="720"/>
        <w:rPr>
          <w:rFonts w:ascii="Garamond" w:eastAsia="Times New Roman" w:hAnsi="Garamond" w:cs="Times New Roman"/>
          <w:i/>
          <w:iCs/>
        </w:rPr>
      </w:pPr>
      <w:proofErr w:type="spellStart"/>
      <w:r>
        <w:rPr>
          <w:rFonts w:ascii="Garamond" w:eastAsia="Times New Roman" w:hAnsi="Garamond" w:cs="Times New Roman"/>
        </w:rPr>
        <w:t>Pratkanis</w:t>
      </w:r>
      <w:proofErr w:type="spellEnd"/>
      <w:r>
        <w:rPr>
          <w:rFonts w:ascii="Garamond" w:eastAsia="Times New Roman" w:hAnsi="Garamond" w:cs="Times New Roman"/>
        </w:rPr>
        <w:t xml:space="preserve">, A.R. &amp; Aronson, E. (1992). How to become a cult leader. </w:t>
      </w:r>
      <w:r>
        <w:rPr>
          <w:rFonts w:ascii="Garamond" w:eastAsia="Times New Roman" w:hAnsi="Garamond" w:cs="Times New Roman"/>
          <w:i/>
          <w:iCs/>
        </w:rPr>
        <w:t xml:space="preserve">Age of propaganda: Everyday use and abuse of persuasion </w:t>
      </w:r>
      <w:r>
        <w:rPr>
          <w:rFonts w:ascii="Garamond" w:eastAsia="Times New Roman" w:hAnsi="Garamond" w:cs="Times New Roman"/>
        </w:rPr>
        <w:t>(pp. 240-249). W.H. Freeman.</w:t>
      </w:r>
      <w:r>
        <w:rPr>
          <w:rFonts w:ascii="Garamond" w:eastAsia="Times New Roman" w:hAnsi="Garamond" w:cs="Times New Roman"/>
          <w:i/>
          <w:iCs/>
        </w:rPr>
        <w:t xml:space="preserve"> </w:t>
      </w:r>
    </w:p>
    <w:p w14:paraId="07A204E8" w14:textId="6C2545F5" w:rsidR="0031143E" w:rsidRPr="00606956" w:rsidRDefault="00606956" w:rsidP="00606956">
      <w:pPr>
        <w:spacing w:line="480" w:lineRule="auto"/>
        <w:ind w:left="720" w:hanging="720"/>
        <w:rPr>
          <w:rFonts w:ascii="Garamond" w:eastAsia="Times New Roman" w:hAnsi="Garamond" w:cs="Times New Roman"/>
        </w:rPr>
      </w:pPr>
      <w:r>
        <w:rPr>
          <w:rFonts w:ascii="Garamond" w:eastAsia="Times New Roman" w:hAnsi="Garamond" w:cs="Times New Roman"/>
        </w:rPr>
        <w:t xml:space="preserve">Smith, C.R. (2017). Aristotle’s Rhetoric. </w:t>
      </w:r>
      <w:r>
        <w:rPr>
          <w:rFonts w:ascii="Garamond" w:eastAsia="Times New Roman" w:hAnsi="Garamond" w:cs="Times New Roman"/>
          <w:i/>
          <w:iCs/>
        </w:rPr>
        <w:t>Rhetoric and human consciousness: A history</w:t>
      </w:r>
      <w:r>
        <w:rPr>
          <w:rFonts w:ascii="Garamond" w:eastAsia="Times New Roman" w:hAnsi="Garamond" w:cs="Times New Roman"/>
        </w:rPr>
        <w:t xml:space="preserve"> (5</w:t>
      </w:r>
      <w:r w:rsidRPr="00606956">
        <w:rPr>
          <w:rFonts w:ascii="Garamond" w:eastAsia="Times New Roman" w:hAnsi="Garamond" w:cs="Times New Roman"/>
          <w:vertAlign w:val="superscript"/>
        </w:rPr>
        <w:t>th</w:t>
      </w:r>
      <w:r>
        <w:rPr>
          <w:rFonts w:ascii="Garamond" w:eastAsia="Times New Roman" w:hAnsi="Garamond" w:cs="Times New Roman"/>
        </w:rPr>
        <w:t xml:space="preserve"> ed.; pp. 66-95). Waveland.</w:t>
      </w:r>
      <w:r w:rsidR="009E1AA2" w:rsidRPr="009E1AA2">
        <w:rPr>
          <w:rFonts w:ascii="Garamond" w:eastAsia="Times New Roman" w:hAnsi="Garamond" w:cs="Times New Roman"/>
        </w:rPr>
        <w:t xml:space="preserve"> </w:t>
      </w:r>
      <w:r w:rsidR="009E1AA2">
        <w:rPr>
          <w:rFonts w:ascii="Garamond" w:hAnsi="Garamond"/>
        </w:rPr>
        <w:t xml:space="preserve"> </w:t>
      </w:r>
    </w:p>
    <w:p w14:paraId="2FBCCC6D" w14:textId="4E3AF130" w:rsidR="0019234A" w:rsidRDefault="0019234A" w:rsidP="00606956">
      <w:pPr>
        <w:spacing w:line="480" w:lineRule="auto"/>
        <w:ind w:left="720" w:hanging="720"/>
        <w:rPr>
          <w:rFonts w:ascii="Garamond" w:hAnsi="Garamond"/>
        </w:rPr>
      </w:pPr>
      <w:r>
        <w:rPr>
          <w:rFonts w:ascii="Garamond" w:hAnsi="Garamond"/>
        </w:rPr>
        <w:t>Stewart,</w:t>
      </w:r>
      <w:r w:rsidR="009A215A">
        <w:rPr>
          <w:rFonts w:ascii="Garamond" w:hAnsi="Garamond"/>
        </w:rPr>
        <w:t xml:space="preserve"> C.J.;</w:t>
      </w:r>
      <w:r>
        <w:rPr>
          <w:rFonts w:ascii="Garamond" w:hAnsi="Garamond"/>
        </w:rPr>
        <w:t xml:space="preserve"> Smith,</w:t>
      </w:r>
      <w:r w:rsidR="009A215A">
        <w:rPr>
          <w:rFonts w:ascii="Garamond" w:hAnsi="Garamond"/>
        </w:rPr>
        <w:t xml:space="preserve"> C.A.;</w:t>
      </w:r>
      <w:r>
        <w:rPr>
          <w:rFonts w:ascii="Garamond" w:hAnsi="Garamond"/>
        </w:rPr>
        <w:t xml:space="preserve"> &amp; Denton</w:t>
      </w:r>
      <w:r w:rsidR="009A215A">
        <w:rPr>
          <w:rFonts w:ascii="Garamond" w:hAnsi="Garamond"/>
        </w:rPr>
        <w:t>, R.E</w:t>
      </w:r>
      <w:r>
        <w:rPr>
          <w:rFonts w:ascii="Garamond" w:hAnsi="Garamond"/>
        </w:rPr>
        <w:t>.</w:t>
      </w:r>
      <w:r w:rsidR="009A215A">
        <w:rPr>
          <w:rFonts w:ascii="Garamond" w:hAnsi="Garamond"/>
        </w:rPr>
        <w:t xml:space="preserve"> (2012).</w:t>
      </w:r>
      <w:r w:rsidR="00A45FD3">
        <w:rPr>
          <w:rFonts w:ascii="Garamond" w:hAnsi="Garamond"/>
        </w:rPr>
        <w:t xml:space="preserve"> </w:t>
      </w:r>
      <w:r w:rsidR="00606956">
        <w:rPr>
          <w:rFonts w:ascii="Garamond" w:hAnsi="Garamond"/>
        </w:rPr>
        <w:t xml:space="preserve">Selling conspiracy theories to skeptical audiences. </w:t>
      </w:r>
      <w:r w:rsidR="00A45FD3">
        <w:rPr>
          <w:rFonts w:ascii="Garamond" w:hAnsi="Garamond"/>
          <w:i/>
          <w:iCs/>
        </w:rPr>
        <w:t xml:space="preserve">Persuasion and social movements </w:t>
      </w:r>
      <w:r w:rsidR="00A45FD3">
        <w:rPr>
          <w:rFonts w:ascii="Garamond" w:hAnsi="Garamond"/>
        </w:rPr>
        <w:t>(6</w:t>
      </w:r>
      <w:r w:rsidR="00A45FD3" w:rsidRPr="00A45FD3">
        <w:rPr>
          <w:rFonts w:ascii="Garamond" w:hAnsi="Garamond"/>
          <w:vertAlign w:val="superscript"/>
        </w:rPr>
        <w:t>th</w:t>
      </w:r>
      <w:r w:rsidR="00A45FD3">
        <w:rPr>
          <w:rFonts w:ascii="Garamond" w:hAnsi="Garamond"/>
        </w:rPr>
        <w:t xml:space="preserve"> ed; pp. 285-306).</w:t>
      </w:r>
    </w:p>
    <w:p w14:paraId="6DEC6A3E" w14:textId="041338F9" w:rsidR="00A45FD3" w:rsidRPr="00E3328C" w:rsidRDefault="0031143E" w:rsidP="00606956">
      <w:pPr>
        <w:spacing w:line="480" w:lineRule="auto"/>
        <w:ind w:left="720" w:hanging="720"/>
        <w:rPr>
          <w:rFonts w:ascii="Garamond" w:hAnsi="Garamond"/>
        </w:rPr>
      </w:pPr>
      <w:r>
        <w:rPr>
          <w:rFonts w:ascii="Garamond" w:hAnsi="Garamond"/>
        </w:rPr>
        <w:lastRenderedPageBreak/>
        <w:t xml:space="preserve">West, R. &amp; Turner, L. (2019). </w:t>
      </w:r>
      <w:r w:rsidRPr="002847A3">
        <w:rPr>
          <w:rFonts w:ascii="Garamond" w:hAnsi="Garamond"/>
        </w:rPr>
        <w:t>Dramatism of Kenneth Burke</w:t>
      </w:r>
      <w:r w:rsidRPr="00786015">
        <w:rPr>
          <w:rFonts w:ascii="Garamond" w:hAnsi="Garamond"/>
          <w:i/>
          <w:iCs/>
        </w:rPr>
        <w:t>. Introducing communication theory</w:t>
      </w:r>
      <w:r>
        <w:rPr>
          <w:rFonts w:ascii="Garamond" w:hAnsi="Garamond"/>
        </w:rPr>
        <w:t xml:space="preserve"> (6</w:t>
      </w:r>
      <w:r w:rsidRPr="0031143E">
        <w:rPr>
          <w:rFonts w:ascii="Garamond" w:hAnsi="Garamond"/>
          <w:vertAlign w:val="superscript"/>
        </w:rPr>
        <w:t>th</w:t>
      </w:r>
      <w:r>
        <w:rPr>
          <w:rFonts w:ascii="Garamond" w:hAnsi="Garamond"/>
        </w:rPr>
        <w:t xml:space="preserve"> ed.</w:t>
      </w:r>
      <w:r w:rsidR="007B0486">
        <w:rPr>
          <w:rFonts w:ascii="Garamond" w:hAnsi="Garamond"/>
        </w:rPr>
        <w:t>; pp. 324-337</w:t>
      </w:r>
      <w:r>
        <w:rPr>
          <w:rFonts w:ascii="Garamond" w:hAnsi="Garamond"/>
        </w:rPr>
        <w:t>). McGraw-Hill</w:t>
      </w:r>
      <w:r w:rsidR="00C64277">
        <w:rPr>
          <w:rFonts w:ascii="Garamond" w:hAnsi="Garamond"/>
        </w:rPr>
        <w:t>.</w:t>
      </w:r>
    </w:p>
    <w:sectPr w:rsidR="00A45FD3" w:rsidRPr="00E33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4356"/>
    <w:multiLevelType w:val="hybridMultilevel"/>
    <w:tmpl w:val="24FC5C52"/>
    <w:lvl w:ilvl="0" w:tplc="2F4275E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B3A0C"/>
    <w:multiLevelType w:val="hybridMultilevel"/>
    <w:tmpl w:val="414A1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D6974"/>
    <w:multiLevelType w:val="hybridMultilevel"/>
    <w:tmpl w:val="AE3E14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3C0A3B"/>
    <w:multiLevelType w:val="hybridMultilevel"/>
    <w:tmpl w:val="EB3E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A723A"/>
    <w:multiLevelType w:val="hybridMultilevel"/>
    <w:tmpl w:val="E6CA7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56C34"/>
    <w:multiLevelType w:val="hybridMultilevel"/>
    <w:tmpl w:val="0D64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5D7651"/>
    <w:multiLevelType w:val="multilevel"/>
    <w:tmpl w:val="9394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CD1702"/>
    <w:multiLevelType w:val="multilevel"/>
    <w:tmpl w:val="DFE6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2B"/>
    <w:rsid w:val="00011E4F"/>
    <w:rsid w:val="0001582C"/>
    <w:rsid w:val="00026B52"/>
    <w:rsid w:val="00050891"/>
    <w:rsid w:val="000525DC"/>
    <w:rsid w:val="00054C53"/>
    <w:rsid w:val="00080B01"/>
    <w:rsid w:val="00094381"/>
    <w:rsid w:val="000D29A9"/>
    <w:rsid w:val="000D56E2"/>
    <w:rsid w:val="000E4A89"/>
    <w:rsid w:val="00114083"/>
    <w:rsid w:val="00117B2D"/>
    <w:rsid w:val="0012530E"/>
    <w:rsid w:val="0015012B"/>
    <w:rsid w:val="001626D8"/>
    <w:rsid w:val="0019234A"/>
    <w:rsid w:val="001A45F2"/>
    <w:rsid w:val="001C44FD"/>
    <w:rsid w:val="001C765E"/>
    <w:rsid w:val="001E6AB1"/>
    <w:rsid w:val="00200BB4"/>
    <w:rsid w:val="0020173B"/>
    <w:rsid w:val="0020471B"/>
    <w:rsid w:val="00224471"/>
    <w:rsid w:val="002245ED"/>
    <w:rsid w:val="002706D7"/>
    <w:rsid w:val="002847A3"/>
    <w:rsid w:val="002B4EDD"/>
    <w:rsid w:val="002C19B9"/>
    <w:rsid w:val="002C3DE0"/>
    <w:rsid w:val="002D6776"/>
    <w:rsid w:val="002D6AC5"/>
    <w:rsid w:val="002F387E"/>
    <w:rsid w:val="002F5B5F"/>
    <w:rsid w:val="0031143E"/>
    <w:rsid w:val="00326380"/>
    <w:rsid w:val="00342699"/>
    <w:rsid w:val="00343976"/>
    <w:rsid w:val="00357CAE"/>
    <w:rsid w:val="00362B57"/>
    <w:rsid w:val="003753FC"/>
    <w:rsid w:val="003B7984"/>
    <w:rsid w:val="00411EA3"/>
    <w:rsid w:val="00443236"/>
    <w:rsid w:val="004626AD"/>
    <w:rsid w:val="00465638"/>
    <w:rsid w:val="004704BF"/>
    <w:rsid w:val="004A29A2"/>
    <w:rsid w:val="004A7DE7"/>
    <w:rsid w:val="00510388"/>
    <w:rsid w:val="00517F70"/>
    <w:rsid w:val="005304E9"/>
    <w:rsid w:val="00543050"/>
    <w:rsid w:val="00571814"/>
    <w:rsid w:val="00572ECA"/>
    <w:rsid w:val="005A1141"/>
    <w:rsid w:val="005F04C8"/>
    <w:rsid w:val="0060203C"/>
    <w:rsid w:val="00606956"/>
    <w:rsid w:val="00613EFD"/>
    <w:rsid w:val="00624A8F"/>
    <w:rsid w:val="00652A61"/>
    <w:rsid w:val="00675AF7"/>
    <w:rsid w:val="006F1E1F"/>
    <w:rsid w:val="006F263D"/>
    <w:rsid w:val="006F3BF6"/>
    <w:rsid w:val="007338A9"/>
    <w:rsid w:val="00785C0E"/>
    <w:rsid w:val="00786015"/>
    <w:rsid w:val="007B0486"/>
    <w:rsid w:val="007C1029"/>
    <w:rsid w:val="007F1481"/>
    <w:rsid w:val="00813AD7"/>
    <w:rsid w:val="00823A6D"/>
    <w:rsid w:val="008260DA"/>
    <w:rsid w:val="008267B9"/>
    <w:rsid w:val="0084776C"/>
    <w:rsid w:val="008704B1"/>
    <w:rsid w:val="008734A4"/>
    <w:rsid w:val="008830C8"/>
    <w:rsid w:val="008B108F"/>
    <w:rsid w:val="008E6812"/>
    <w:rsid w:val="008E7669"/>
    <w:rsid w:val="00906185"/>
    <w:rsid w:val="0091077B"/>
    <w:rsid w:val="009171A0"/>
    <w:rsid w:val="00924CE6"/>
    <w:rsid w:val="00931CF1"/>
    <w:rsid w:val="00932786"/>
    <w:rsid w:val="00934349"/>
    <w:rsid w:val="0094090A"/>
    <w:rsid w:val="0095636A"/>
    <w:rsid w:val="00983ECF"/>
    <w:rsid w:val="00986A22"/>
    <w:rsid w:val="00990C06"/>
    <w:rsid w:val="009A215A"/>
    <w:rsid w:val="009A3257"/>
    <w:rsid w:val="009B2704"/>
    <w:rsid w:val="009C386B"/>
    <w:rsid w:val="009E1AA2"/>
    <w:rsid w:val="009E5812"/>
    <w:rsid w:val="009E7FDF"/>
    <w:rsid w:val="009F127D"/>
    <w:rsid w:val="009F36CC"/>
    <w:rsid w:val="00A0397A"/>
    <w:rsid w:val="00A05D74"/>
    <w:rsid w:val="00A34BCD"/>
    <w:rsid w:val="00A45FD3"/>
    <w:rsid w:val="00A66726"/>
    <w:rsid w:val="00A71230"/>
    <w:rsid w:val="00A76AD1"/>
    <w:rsid w:val="00AA19BA"/>
    <w:rsid w:val="00AC7560"/>
    <w:rsid w:val="00AD28BC"/>
    <w:rsid w:val="00B2241E"/>
    <w:rsid w:val="00B233F4"/>
    <w:rsid w:val="00B23A9E"/>
    <w:rsid w:val="00B46F05"/>
    <w:rsid w:val="00B92D93"/>
    <w:rsid w:val="00BC7ECF"/>
    <w:rsid w:val="00BE03A5"/>
    <w:rsid w:val="00BF5535"/>
    <w:rsid w:val="00C0702F"/>
    <w:rsid w:val="00C12357"/>
    <w:rsid w:val="00C263D0"/>
    <w:rsid w:val="00C539ED"/>
    <w:rsid w:val="00C6409D"/>
    <w:rsid w:val="00C64277"/>
    <w:rsid w:val="00CB32E5"/>
    <w:rsid w:val="00CB5B88"/>
    <w:rsid w:val="00CD35D0"/>
    <w:rsid w:val="00CD3A15"/>
    <w:rsid w:val="00D413CD"/>
    <w:rsid w:val="00D730B6"/>
    <w:rsid w:val="00D87901"/>
    <w:rsid w:val="00DA4A4B"/>
    <w:rsid w:val="00DB6DC7"/>
    <w:rsid w:val="00DD7C31"/>
    <w:rsid w:val="00DF3887"/>
    <w:rsid w:val="00E02297"/>
    <w:rsid w:val="00E12D23"/>
    <w:rsid w:val="00E3328C"/>
    <w:rsid w:val="00E602A2"/>
    <w:rsid w:val="00E74034"/>
    <w:rsid w:val="00E95888"/>
    <w:rsid w:val="00EE0CBE"/>
    <w:rsid w:val="00F07FC2"/>
    <w:rsid w:val="00F27669"/>
    <w:rsid w:val="00F475F3"/>
    <w:rsid w:val="00F56BBE"/>
    <w:rsid w:val="00F778D6"/>
    <w:rsid w:val="00F93F36"/>
    <w:rsid w:val="00FB6E21"/>
    <w:rsid w:val="00FF1F0A"/>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7187"/>
  <w15:chartTrackingRefBased/>
  <w15:docId w15:val="{CD4AE28B-18A5-DC40-8852-8D2AC068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6409D"/>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09D"/>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12B"/>
    <w:rPr>
      <w:color w:val="0563C1" w:themeColor="hyperlink"/>
      <w:u w:val="single"/>
    </w:rPr>
  </w:style>
  <w:style w:type="character" w:styleId="UnresolvedMention">
    <w:name w:val="Unresolved Mention"/>
    <w:basedOn w:val="DefaultParagraphFont"/>
    <w:uiPriority w:val="99"/>
    <w:semiHidden/>
    <w:unhideWhenUsed/>
    <w:rsid w:val="0015012B"/>
    <w:rPr>
      <w:color w:val="605E5C"/>
      <w:shd w:val="clear" w:color="auto" w:fill="E1DFDD"/>
    </w:rPr>
  </w:style>
  <w:style w:type="paragraph" w:styleId="ListParagraph">
    <w:name w:val="List Paragraph"/>
    <w:basedOn w:val="Normal"/>
    <w:uiPriority w:val="34"/>
    <w:qFormat/>
    <w:rsid w:val="0015012B"/>
    <w:pPr>
      <w:spacing w:after="200" w:line="276" w:lineRule="auto"/>
      <w:ind w:left="720"/>
      <w:contextualSpacing/>
    </w:pPr>
    <w:rPr>
      <w:sz w:val="22"/>
      <w:szCs w:val="22"/>
    </w:rPr>
  </w:style>
  <w:style w:type="table" w:styleId="TableGrid">
    <w:name w:val="Table Grid"/>
    <w:basedOn w:val="TableNormal"/>
    <w:uiPriority w:val="39"/>
    <w:rsid w:val="00940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203C"/>
    <w:rPr>
      <w:color w:val="954F72" w:themeColor="followedHyperlink"/>
      <w:u w:val="single"/>
    </w:rPr>
  </w:style>
  <w:style w:type="paragraph" w:styleId="NoSpacing">
    <w:name w:val="No Spacing"/>
    <w:uiPriority w:val="1"/>
    <w:qFormat/>
    <w:rsid w:val="00011E4F"/>
    <w:rPr>
      <w:sz w:val="22"/>
      <w:szCs w:val="22"/>
    </w:rPr>
  </w:style>
  <w:style w:type="character" w:customStyle="1" w:styleId="Heading2Char">
    <w:name w:val="Heading 2 Char"/>
    <w:basedOn w:val="DefaultParagraphFont"/>
    <w:link w:val="Heading2"/>
    <w:uiPriority w:val="9"/>
    <w:rsid w:val="00C640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40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00">
      <w:bodyDiv w:val="1"/>
      <w:marLeft w:val="0"/>
      <w:marRight w:val="0"/>
      <w:marTop w:val="0"/>
      <w:marBottom w:val="0"/>
      <w:divBdr>
        <w:top w:val="none" w:sz="0" w:space="0" w:color="auto"/>
        <w:left w:val="none" w:sz="0" w:space="0" w:color="auto"/>
        <w:bottom w:val="none" w:sz="0" w:space="0" w:color="auto"/>
        <w:right w:val="none" w:sz="0" w:space="0" w:color="auto"/>
      </w:divBdr>
    </w:div>
    <w:div w:id="38094980">
      <w:bodyDiv w:val="1"/>
      <w:marLeft w:val="0"/>
      <w:marRight w:val="0"/>
      <w:marTop w:val="0"/>
      <w:marBottom w:val="0"/>
      <w:divBdr>
        <w:top w:val="none" w:sz="0" w:space="0" w:color="auto"/>
        <w:left w:val="none" w:sz="0" w:space="0" w:color="auto"/>
        <w:bottom w:val="none" w:sz="0" w:space="0" w:color="auto"/>
        <w:right w:val="none" w:sz="0" w:space="0" w:color="auto"/>
      </w:divBdr>
    </w:div>
    <w:div w:id="383679089">
      <w:bodyDiv w:val="1"/>
      <w:marLeft w:val="0"/>
      <w:marRight w:val="0"/>
      <w:marTop w:val="0"/>
      <w:marBottom w:val="0"/>
      <w:divBdr>
        <w:top w:val="none" w:sz="0" w:space="0" w:color="auto"/>
        <w:left w:val="none" w:sz="0" w:space="0" w:color="auto"/>
        <w:bottom w:val="none" w:sz="0" w:space="0" w:color="auto"/>
        <w:right w:val="none" w:sz="0" w:space="0" w:color="auto"/>
      </w:divBdr>
    </w:div>
    <w:div w:id="628703504">
      <w:bodyDiv w:val="1"/>
      <w:marLeft w:val="0"/>
      <w:marRight w:val="0"/>
      <w:marTop w:val="0"/>
      <w:marBottom w:val="0"/>
      <w:divBdr>
        <w:top w:val="none" w:sz="0" w:space="0" w:color="auto"/>
        <w:left w:val="none" w:sz="0" w:space="0" w:color="auto"/>
        <w:bottom w:val="none" w:sz="0" w:space="0" w:color="auto"/>
        <w:right w:val="none" w:sz="0" w:space="0" w:color="auto"/>
      </w:divBdr>
    </w:div>
    <w:div w:id="714088107">
      <w:bodyDiv w:val="1"/>
      <w:marLeft w:val="0"/>
      <w:marRight w:val="0"/>
      <w:marTop w:val="0"/>
      <w:marBottom w:val="0"/>
      <w:divBdr>
        <w:top w:val="none" w:sz="0" w:space="0" w:color="auto"/>
        <w:left w:val="none" w:sz="0" w:space="0" w:color="auto"/>
        <w:bottom w:val="none" w:sz="0" w:space="0" w:color="auto"/>
        <w:right w:val="none" w:sz="0" w:space="0" w:color="auto"/>
      </w:divBdr>
    </w:div>
    <w:div w:id="781803466">
      <w:bodyDiv w:val="1"/>
      <w:marLeft w:val="0"/>
      <w:marRight w:val="0"/>
      <w:marTop w:val="0"/>
      <w:marBottom w:val="0"/>
      <w:divBdr>
        <w:top w:val="none" w:sz="0" w:space="0" w:color="auto"/>
        <w:left w:val="none" w:sz="0" w:space="0" w:color="auto"/>
        <w:bottom w:val="none" w:sz="0" w:space="0" w:color="auto"/>
        <w:right w:val="none" w:sz="0" w:space="0" w:color="auto"/>
      </w:divBdr>
      <w:divsChild>
        <w:div w:id="134758817">
          <w:marLeft w:val="0"/>
          <w:marRight w:val="0"/>
          <w:marTop w:val="0"/>
          <w:marBottom w:val="0"/>
          <w:divBdr>
            <w:top w:val="none" w:sz="0" w:space="0" w:color="auto"/>
            <w:left w:val="none" w:sz="0" w:space="0" w:color="auto"/>
            <w:bottom w:val="none" w:sz="0" w:space="0" w:color="auto"/>
            <w:right w:val="none" w:sz="0" w:space="0" w:color="auto"/>
          </w:divBdr>
        </w:div>
      </w:divsChild>
    </w:div>
    <w:div w:id="805898773">
      <w:bodyDiv w:val="1"/>
      <w:marLeft w:val="0"/>
      <w:marRight w:val="0"/>
      <w:marTop w:val="0"/>
      <w:marBottom w:val="0"/>
      <w:divBdr>
        <w:top w:val="none" w:sz="0" w:space="0" w:color="auto"/>
        <w:left w:val="none" w:sz="0" w:space="0" w:color="auto"/>
        <w:bottom w:val="none" w:sz="0" w:space="0" w:color="auto"/>
        <w:right w:val="none" w:sz="0" w:space="0" w:color="auto"/>
      </w:divBdr>
      <w:divsChild>
        <w:div w:id="274875429">
          <w:marLeft w:val="0"/>
          <w:marRight w:val="0"/>
          <w:marTop w:val="0"/>
          <w:marBottom w:val="0"/>
          <w:divBdr>
            <w:top w:val="none" w:sz="0" w:space="0" w:color="auto"/>
            <w:left w:val="none" w:sz="0" w:space="0" w:color="auto"/>
            <w:bottom w:val="none" w:sz="0" w:space="0" w:color="auto"/>
            <w:right w:val="none" w:sz="0" w:space="0" w:color="auto"/>
          </w:divBdr>
        </w:div>
      </w:divsChild>
    </w:div>
    <w:div w:id="851189414">
      <w:bodyDiv w:val="1"/>
      <w:marLeft w:val="0"/>
      <w:marRight w:val="0"/>
      <w:marTop w:val="0"/>
      <w:marBottom w:val="0"/>
      <w:divBdr>
        <w:top w:val="none" w:sz="0" w:space="0" w:color="auto"/>
        <w:left w:val="none" w:sz="0" w:space="0" w:color="auto"/>
        <w:bottom w:val="none" w:sz="0" w:space="0" w:color="auto"/>
        <w:right w:val="none" w:sz="0" w:space="0" w:color="auto"/>
      </w:divBdr>
    </w:div>
    <w:div w:id="1346981497">
      <w:bodyDiv w:val="1"/>
      <w:marLeft w:val="0"/>
      <w:marRight w:val="0"/>
      <w:marTop w:val="0"/>
      <w:marBottom w:val="0"/>
      <w:divBdr>
        <w:top w:val="none" w:sz="0" w:space="0" w:color="auto"/>
        <w:left w:val="none" w:sz="0" w:space="0" w:color="auto"/>
        <w:bottom w:val="none" w:sz="0" w:space="0" w:color="auto"/>
        <w:right w:val="none" w:sz="0" w:space="0" w:color="auto"/>
      </w:divBdr>
    </w:div>
    <w:div w:id="1356543683">
      <w:bodyDiv w:val="1"/>
      <w:marLeft w:val="0"/>
      <w:marRight w:val="0"/>
      <w:marTop w:val="0"/>
      <w:marBottom w:val="0"/>
      <w:divBdr>
        <w:top w:val="none" w:sz="0" w:space="0" w:color="auto"/>
        <w:left w:val="none" w:sz="0" w:space="0" w:color="auto"/>
        <w:bottom w:val="none" w:sz="0" w:space="0" w:color="auto"/>
        <w:right w:val="none" w:sz="0" w:space="0" w:color="auto"/>
      </w:divBdr>
    </w:div>
    <w:div w:id="1515220629">
      <w:bodyDiv w:val="1"/>
      <w:marLeft w:val="0"/>
      <w:marRight w:val="0"/>
      <w:marTop w:val="0"/>
      <w:marBottom w:val="0"/>
      <w:divBdr>
        <w:top w:val="none" w:sz="0" w:space="0" w:color="auto"/>
        <w:left w:val="none" w:sz="0" w:space="0" w:color="auto"/>
        <w:bottom w:val="none" w:sz="0" w:space="0" w:color="auto"/>
        <w:right w:val="none" w:sz="0" w:space="0" w:color="auto"/>
      </w:divBdr>
    </w:div>
    <w:div w:id="1874034647">
      <w:bodyDiv w:val="1"/>
      <w:marLeft w:val="0"/>
      <w:marRight w:val="0"/>
      <w:marTop w:val="0"/>
      <w:marBottom w:val="0"/>
      <w:divBdr>
        <w:top w:val="none" w:sz="0" w:space="0" w:color="auto"/>
        <w:left w:val="none" w:sz="0" w:space="0" w:color="auto"/>
        <w:bottom w:val="none" w:sz="0" w:space="0" w:color="auto"/>
        <w:right w:val="none" w:sz="0" w:space="0" w:color="auto"/>
      </w:divBdr>
    </w:div>
    <w:div w:id="19778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r.edu/administrative-manual/5000-5999-general-university-services/5470-animals-on-university-property" TargetMode="External"/><Relationship Id="rId13" Type="http://schemas.openxmlformats.org/officeDocument/2006/relationships/hyperlink" Target="https://www.unr.edu/equal-opportunity-title-ix" TargetMode="External"/><Relationship Id="rId18" Type="http://schemas.openxmlformats.org/officeDocument/2006/relationships/hyperlink" Target="https://doi.org/10.2307/256465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unr.edu/administrative-manual/6000-6999-curricula-teaching-research/instruction-research-procedures/6502-academic-standards" TargetMode="External"/><Relationship Id="rId12" Type="http://schemas.openxmlformats.org/officeDocument/2006/relationships/hyperlink" Target="https://www.unr.edu/writing-center" TargetMode="External"/><Relationship Id="rId17" Type="http://schemas.openxmlformats.org/officeDocument/2006/relationships/hyperlink" Target="https://doi.org/10.1037/a0040437" TargetMode="External"/><Relationship Id="rId2" Type="http://schemas.openxmlformats.org/officeDocument/2006/relationships/numbering" Target="numbering.xml"/><Relationship Id="rId16" Type="http://schemas.openxmlformats.org/officeDocument/2006/relationships/hyperlink" Target="https://doi.org/10.1111/j.1460-2466.1993.tb01304.x" TargetMode="External"/><Relationship Id="rId20" Type="http://schemas.openxmlformats.org/officeDocument/2006/relationships/hyperlink" Target="https://doi.org/10.1177/1470593104044089" TargetMode="External"/><Relationship Id="rId1" Type="http://schemas.openxmlformats.org/officeDocument/2006/relationships/customXml" Target="../customXml/item1.xml"/><Relationship Id="rId6" Type="http://schemas.openxmlformats.org/officeDocument/2006/relationships/hyperlink" Target="mailto:Benjaminkrueger@unr.edu" TargetMode="External"/><Relationship Id="rId11" Type="http://schemas.openxmlformats.org/officeDocument/2006/relationships/hyperlink" Target="https://www.unr.edu/tutoring-center" TargetMode="External"/><Relationship Id="rId5" Type="http://schemas.openxmlformats.org/officeDocument/2006/relationships/webSettings" Target="webSettings.xml"/><Relationship Id="rId15" Type="http://schemas.openxmlformats.org/officeDocument/2006/relationships/hyperlink" Target="https://doi.org/10.1007/s11292-014-9222-7" TargetMode="External"/><Relationship Id="rId10" Type="http://schemas.openxmlformats.org/officeDocument/2006/relationships/hyperlink" Target="http://www.unr.edu/mathcenter/" TargetMode="External"/><Relationship Id="rId19" Type="http://schemas.openxmlformats.org/officeDocument/2006/relationships/hyperlink" Target="https://doi.org//10.13110/storselfsoci.11.1.0066" TargetMode="External"/><Relationship Id="rId4" Type="http://schemas.openxmlformats.org/officeDocument/2006/relationships/settings" Target="settings.xml"/><Relationship Id="rId9" Type="http://schemas.openxmlformats.org/officeDocument/2006/relationships/hyperlink" Target="mailto:DRC@unr.edu" TargetMode="External"/><Relationship Id="rId14" Type="http://schemas.openxmlformats.org/officeDocument/2006/relationships/hyperlink" Target="https://doi-org.unr.idm.oclc.org/10.1080/23796529.2006.1167463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DF442-109E-D14A-AE57-13491B1E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1403</TotalTime>
  <Pages>9</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Krueger</dc:creator>
  <cp:keywords/>
  <dc:description/>
  <cp:lastModifiedBy>Ben Krueger</cp:lastModifiedBy>
  <cp:revision>28</cp:revision>
  <dcterms:created xsi:type="dcterms:W3CDTF">2021-08-07T01:39:00Z</dcterms:created>
  <dcterms:modified xsi:type="dcterms:W3CDTF">2021-08-22T20:53:00Z</dcterms:modified>
</cp:coreProperties>
</file>