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516" w:rsidRDefault="00615516" w:rsidP="00615516">
      <w:pPr>
        <w:spacing w:line="480" w:lineRule="auto"/>
        <w:jc w:val="center"/>
      </w:pPr>
      <w:r>
        <w:t>The One and the Trinity</w:t>
      </w:r>
    </w:p>
    <w:p w:rsidR="00615516" w:rsidRDefault="00615516" w:rsidP="00615516">
      <w:pPr>
        <w:spacing w:line="480" w:lineRule="auto"/>
        <w:jc w:val="center"/>
      </w:pPr>
      <w:r>
        <w:t>Andrew Radde-Gallwitz</w:t>
      </w:r>
    </w:p>
    <w:p w:rsidR="0069391C" w:rsidRPr="0069391C" w:rsidRDefault="0069391C" w:rsidP="00615516">
      <w:pPr>
        <w:spacing w:line="480" w:lineRule="auto"/>
        <w:jc w:val="center"/>
      </w:pPr>
      <w:r>
        <w:t xml:space="preserve">Draft for John P. Kenney and Alexander Hampton, eds. </w:t>
      </w:r>
      <w:r>
        <w:rPr>
          <w:i/>
        </w:rPr>
        <w:t>The Cambridge History of Christian Platonism</w:t>
      </w:r>
    </w:p>
    <w:p w:rsidR="00615516" w:rsidRDefault="0069391C" w:rsidP="0069391C">
      <w:pPr>
        <w:spacing w:line="480" w:lineRule="auto"/>
        <w:jc w:val="center"/>
      </w:pPr>
      <w:r>
        <w:t>DO NOT CITE</w:t>
      </w:r>
    </w:p>
    <w:p w:rsidR="0069391C" w:rsidRDefault="0069391C" w:rsidP="0069391C">
      <w:pPr>
        <w:spacing w:line="480" w:lineRule="auto"/>
        <w:jc w:val="center"/>
      </w:pPr>
    </w:p>
    <w:p w:rsidR="00615516" w:rsidRDefault="00615516" w:rsidP="00615516">
      <w:pPr>
        <w:jc w:val="center"/>
      </w:pPr>
      <w:r>
        <w:t>“But [Plato] also says that there is a ‘Father of the Cause’.”</w:t>
      </w:r>
      <w:r>
        <w:rPr>
          <w:rStyle w:val="FootnoteReference"/>
        </w:rPr>
        <w:footnoteReference w:id="1"/>
      </w:r>
    </w:p>
    <w:p w:rsidR="00615516" w:rsidRDefault="00615516" w:rsidP="00615516">
      <w:pPr>
        <w:spacing w:line="480" w:lineRule="auto"/>
      </w:pPr>
    </w:p>
    <w:p w:rsidR="00615516" w:rsidRDefault="009C4C2D" w:rsidP="00615516">
      <w:pPr>
        <w:spacing w:line="480" w:lineRule="auto"/>
      </w:pPr>
      <w:r>
        <w:t>The confession of Christian faith that emerged from late antiquity with imperial and ecclesia</w:t>
      </w:r>
      <w:r w:rsidR="008E4841">
        <w:t>stical sanction was</w:t>
      </w:r>
      <w:r>
        <w:t xml:space="preserve"> novel. The church professed belief in </w:t>
      </w:r>
      <w:r w:rsidR="009E115B">
        <w:t>a creator God, a metaphysical first</w:t>
      </w:r>
      <w:r w:rsidR="00F9253A">
        <w:t xml:space="preserve"> principle, who is not merely</w:t>
      </w:r>
      <w:r w:rsidR="009E115B">
        <w:t xml:space="preserve"> undifferen</w:t>
      </w:r>
      <w:r w:rsidR="00F9253A">
        <w:t>tiated, simple unity, but “one God</w:t>
      </w:r>
      <w:r w:rsidR="009E115B">
        <w:t xml:space="preserve"> in Trinity and Trinity in unity.”</w:t>
      </w:r>
      <w:r w:rsidR="009E115B">
        <w:rPr>
          <w:rStyle w:val="FootnoteReference"/>
        </w:rPr>
        <w:footnoteReference w:id="2"/>
      </w:r>
      <w:r w:rsidR="009E115B">
        <w:t xml:space="preserve"> </w:t>
      </w:r>
      <w:r>
        <w:t>Triads the</w:t>
      </w:r>
      <w:r w:rsidR="00D70145">
        <w:t>re had been, but to proclaim the first principle as</w:t>
      </w:r>
      <w:r>
        <w:t xml:space="preserve"> triadic unity was new. </w:t>
      </w:r>
      <w:r w:rsidR="005B4746">
        <w:t>P</w:t>
      </w:r>
      <w:r w:rsidR="000F6E2C">
        <w:t xml:space="preserve">latonists </w:t>
      </w:r>
      <w:r w:rsidR="00DD264D">
        <w:t>had articulated</w:t>
      </w:r>
      <w:r w:rsidR="00125316">
        <w:t xml:space="preserve"> a triad of three moments—being, life, and intellect—in the hypostasis of </w:t>
      </w:r>
      <w:r w:rsidR="00125316">
        <w:rPr>
          <w:i/>
        </w:rPr>
        <w:t>nous</w:t>
      </w:r>
      <w:r w:rsidR="000F6E2C">
        <w:t xml:space="preserve">, but </w:t>
      </w:r>
      <w:r w:rsidR="00767BE7">
        <w:t>for them</w:t>
      </w:r>
      <w:r w:rsidR="00125316">
        <w:t xml:space="preserve"> </w:t>
      </w:r>
      <w:r w:rsidR="00125316">
        <w:rPr>
          <w:i/>
        </w:rPr>
        <w:t>nous</w:t>
      </w:r>
      <w:r w:rsidR="00125316">
        <w:t xml:space="preserve"> was </w:t>
      </w:r>
      <w:r w:rsidR="00767BE7">
        <w:t xml:space="preserve">not </w:t>
      </w:r>
      <w:r w:rsidR="00125316">
        <w:t>metaphysically first or ultimate; the absolutely first principle was the utterly simple One</w:t>
      </w:r>
      <w:r w:rsidR="00767BE7">
        <w:t xml:space="preserve"> or</w:t>
      </w:r>
      <w:r w:rsidR="00125316">
        <w:t xml:space="preserve"> the Good.</w:t>
      </w:r>
      <w:r w:rsidR="00125316">
        <w:rPr>
          <w:rStyle w:val="FootnoteReference"/>
        </w:rPr>
        <w:footnoteReference w:id="3"/>
      </w:r>
      <w:r w:rsidR="00125316">
        <w:t xml:space="preserve"> Trinitarian </w:t>
      </w:r>
      <w:r w:rsidR="0089257D">
        <w:t>faith</w:t>
      </w:r>
      <w:r w:rsidR="00125316">
        <w:t>, by contrast,</w:t>
      </w:r>
      <w:r w:rsidR="0089257D">
        <w:t xml:space="preserve"> contained two essential elements:</w:t>
      </w:r>
      <w:r w:rsidR="009E115B">
        <w:t xml:space="preserve"> a distinction of three hypostases and an identity of the three in substance</w:t>
      </w:r>
      <w:r w:rsidR="0015641B">
        <w:t>, power,</w:t>
      </w:r>
      <w:r w:rsidR="009E115B">
        <w:t xml:space="preserve"> and glory, with no priority residing in either the unity or the trinity. Yet the uniquen</w:t>
      </w:r>
      <w:r w:rsidR="00634304">
        <w:t>ess of this creed does not mean</w:t>
      </w:r>
      <w:r w:rsidR="009E115B">
        <w:t xml:space="preserve"> that its defenders relied solely on natively Christian </w:t>
      </w:r>
      <w:r w:rsidR="0089257D">
        <w:t>premises</w:t>
      </w:r>
      <w:r w:rsidR="009E115B">
        <w:t xml:space="preserve">. To the </w:t>
      </w:r>
      <w:r w:rsidR="009E115B">
        <w:lastRenderedPageBreak/>
        <w:t>contrary, the principal Greek a</w:t>
      </w:r>
      <w:r w:rsidR="008E4841">
        <w:t>nd Latin pro-</w:t>
      </w:r>
      <w:r w:rsidR="009E115B">
        <w:t>Nicene theologians from the late fourth century drew extensively on</w:t>
      </w:r>
      <w:r w:rsidR="00634304">
        <w:t xml:space="preserve"> non-Christian philosophical resources, and</w:t>
      </w:r>
      <w:r w:rsidR="009E115B">
        <w:t xml:space="preserve"> Platonism</w:t>
      </w:r>
      <w:r w:rsidR="00634304">
        <w:t xml:space="preserve"> in particular,</w:t>
      </w:r>
      <w:r w:rsidR="009E115B">
        <w:t xml:space="preserve"> in their Trinitarian theologies. </w:t>
      </w:r>
    </w:p>
    <w:p w:rsidR="001719BF" w:rsidRDefault="0089257D" w:rsidP="001719BF">
      <w:pPr>
        <w:spacing w:line="480" w:lineRule="auto"/>
      </w:pPr>
      <w:r>
        <w:tab/>
        <w:t>In fact, several</w:t>
      </w:r>
      <w:r w:rsidR="009C4C2D">
        <w:t xml:space="preserve"> Christian</w:t>
      </w:r>
      <w:r w:rsidR="00634304">
        <w:t xml:space="preserve"> theologians </w:t>
      </w:r>
      <w:r w:rsidR="009C4C2D">
        <w:t>present</w:t>
      </w:r>
      <w:r w:rsidR="008E4841">
        <w:t>ed</w:t>
      </w:r>
      <w:r w:rsidR="009C4C2D">
        <w:t xml:space="preserve"> </w:t>
      </w:r>
      <w:r w:rsidR="00634304">
        <w:t xml:space="preserve">the Christian Trinity as </w:t>
      </w:r>
      <w:r w:rsidR="008E4841">
        <w:t xml:space="preserve">not </w:t>
      </w:r>
      <w:r w:rsidR="00634304">
        <w:t>wholly unique</w:t>
      </w:r>
      <w:r>
        <w:t xml:space="preserve"> within ancient thought</w:t>
      </w:r>
      <w:r w:rsidR="00634304">
        <w:t xml:space="preserve">. A tradition going back to the second century sought to underscore the fundamental harmony between Christian and Platonist conceptions of the first principle. In his apologetic </w:t>
      </w:r>
      <w:proofErr w:type="spellStart"/>
      <w:r w:rsidR="00634304">
        <w:rPr>
          <w:i/>
        </w:rPr>
        <w:t>Legatio</w:t>
      </w:r>
      <w:proofErr w:type="spellEnd"/>
      <w:r w:rsidR="00634304">
        <w:rPr>
          <w:i/>
        </w:rPr>
        <w:t xml:space="preserve"> </w:t>
      </w:r>
      <w:r w:rsidR="001719BF">
        <w:t xml:space="preserve">(ca. A.D. </w:t>
      </w:r>
      <w:r w:rsidR="00634304">
        <w:t>170</w:t>
      </w:r>
      <w:r w:rsidR="001719BF">
        <w:t>–80)</w:t>
      </w:r>
      <w:r w:rsidR="00634304">
        <w:t xml:space="preserve">, </w:t>
      </w:r>
      <w:proofErr w:type="spellStart"/>
      <w:r w:rsidR="00634304">
        <w:t>Athenagor</w:t>
      </w:r>
      <w:r w:rsidR="001719BF">
        <w:t>as</w:t>
      </w:r>
      <w:proofErr w:type="spellEnd"/>
      <w:r w:rsidR="001719BF">
        <w:t xml:space="preserve"> summarizes</w:t>
      </w:r>
      <w:r w:rsidR="00634304">
        <w:t xml:space="preserve"> Plato’s </w:t>
      </w:r>
      <w:r w:rsidR="001719BF">
        <w:t>theological views. He says, with reference to</w:t>
      </w:r>
      <w:r w:rsidR="00634304">
        <w:t xml:space="preserve"> </w:t>
      </w:r>
      <w:proofErr w:type="spellStart"/>
      <w:r w:rsidR="00634304">
        <w:rPr>
          <w:i/>
        </w:rPr>
        <w:t>Timaeus</w:t>
      </w:r>
      <w:proofErr w:type="spellEnd"/>
      <w:r w:rsidR="001719BF">
        <w:t xml:space="preserve"> 28c, </w:t>
      </w:r>
      <w:r w:rsidR="00634304">
        <w:t>“Here [Plato] understands the unoriginated and eternal (</w:t>
      </w:r>
      <w:r w:rsidR="00634304">
        <w:rPr>
          <w:lang w:val="el-GR"/>
        </w:rPr>
        <w:t>ἀγένητον</w:t>
      </w:r>
      <w:r w:rsidR="00634304" w:rsidRPr="00BD1CAB">
        <w:t xml:space="preserve"> </w:t>
      </w:r>
      <w:r w:rsidR="00634304">
        <w:rPr>
          <w:lang w:val="el-GR"/>
        </w:rPr>
        <w:t>καὶ</w:t>
      </w:r>
      <w:r w:rsidR="00634304" w:rsidRPr="00BD1CAB">
        <w:t xml:space="preserve"> </w:t>
      </w:r>
      <w:r w:rsidR="00634304">
        <w:rPr>
          <w:lang w:val="el-GR"/>
        </w:rPr>
        <w:t>ἀίδιον</w:t>
      </w:r>
      <w:r w:rsidR="00634304">
        <w:t>) God to be one.”</w:t>
      </w:r>
      <w:r w:rsidR="00634304">
        <w:rPr>
          <w:rStyle w:val="FootnoteReference"/>
        </w:rPr>
        <w:footnoteReference w:id="4"/>
      </w:r>
      <w:r w:rsidR="00634304">
        <w:t xml:space="preserve"> When</w:t>
      </w:r>
      <w:r w:rsidR="001719BF">
        <w:t xml:space="preserve"> </w:t>
      </w:r>
      <w:proofErr w:type="spellStart"/>
      <w:r w:rsidR="001719BF">
        <w:t>Athenagoras</w:t>
      </w:r>
      <w:proofErr w:type="spellEnd"/>
      <w:r w:rsidR="001719BF">
        <w:t xml:space="preserve"> turns to </w:t>
      </w:r>
      <w:r w:rsidR="00634304">
        <w:t>Christian belief, he picks up directly from his characterization of Plato: according to Christians, God is “unoriginated, eternal (</w:t>
      </w:r>
      <w:r w:rsidR="00634304">
        <w:rPr>
          <w:lang w:val="el-GR"/>
        </w:rPr>
        <w:t>ἀγένητον</w:t>
      </w:r>
      <w:r w:rsidR="00634304" w:rsidRPr="00BD1CAB">
        <w:t xml:space="preserve"> </w:t>
      </w:r>
      <w:r w:rsidR="00634304">
        <w:rPr>
          <w:lang w:val="el-GR"/>
        </w:rPr>
        <w:t>καὶ</w:t>
      </w:r>
      <w:r w:rsidR="00634304" w:rsidRPr="00BD1CAB">
        <w:t xml:space="preserve"> </w:t>
      </w:r>
      <w:r w:rsidR="00634304">
        <w:rPr>
          <w:lang w:val="el-GR"/>
        </w:rPr>
        <w:t>ἀίδιον</w:t>
      </w:r>
      <w:r w:rsidR="00634304">
        <w:t>), invisible, impassible, incomprehensible, and uncontained, apprehe</w:t>
      </w:r>
      <w:r w:rsidR="00900EDA">
        <w:t>nsible by mind and reason alone (</w:t>
      </w:r>
      <w:r w:rsidR="007E6736">
        <w:rPr>
          <w:lang w:val="el-GR"/>
        </w:rPr>
        <w:t>νῷ</w:t>
      </w:r>
      <w:r w:rsidR="007E6736" w:rsidRPr="007E6736">
        <w:t xml:space="preserve"> </w:t>
      </w:r>
      <w:r w:rsidR="007E6736">
        <w:rPr>
          <w:lang w:val="el-GR"/>
        </w:rPr>
        <w:t>μόνῳ</w:t>
      </w:r>
      <w:r w:rsidR="007E6736" w:rsidRPr="007E6736">
        <w:t xml:space="preserve"> </w:t>
      </w:r>
      <w:r w:rsidR="007E6736">
        <w:rPr>
          <w:lang w:val="el-GR"/>
        </w:rPr>
        <w:t>καὶ</w:t>
      </w:r>
      <w:r w:rsidR="007E6736" w:rsidRPr="007E6736">
        <w:t xml:space="preserve"> </w:t>
      </w:r>
      <w:r w:rsidR="007E6736">
        <w:rPr>
          <w:lang w:val="el-GR"/>
        </w:rPr>
        <w:t>λόγῳ</w:t>
      </w:r>
      <w:r w:rsidR="007E6736" w:rsidRPr="007E6736">
        <w:t xml:space="preserve"> </w:t>
      </w:r>
      <w:r w:rsidR="007E6736">
        <w:rPr>
          <w:lang w:val="el-GR"/>
        </w:rPr>
        <w:t>καταλαμβανόμενον</w:t>
      </w:r>
      <w:r w:rsidR="00900EDA">
        <w:t>)</w:t>
      </w:r>
      <w:r w:rsidR="00634304">
        <w:t>”</w:t>
      </w:r>
      <w:r w:rsidR="00634304">
        <w:rPr>
          <w:rStyle w:val="FootnoteReference"/>
        </w:rPr>
        <w:footnoteReference w:id="5"/>
      </w:r>
      <w:r w:rsidR="001719BF">
        <w:t xml:space="preserve"> The epithets echo not only </w:t>
      </w:r>
      <w:proofErr w:type="spellStart"/>
      <w:r w:rsidR="001719BF">
        <w:t>Athenagoras’s</w:t>
      </w:r>
      <w:proofErr w:type="spellEnd"/>
      <w:r w:rsidR="001719BF">
        <w:t xml:space="preserve"> own</w:t>
      </w:r>
      <w:r w:rsidR="00634304">
        <w:t xml:space="preserve"> descrip</w:t>
      </w:r>
      <w:r w:rsidR="001719BF">
        <w:t>tion of Plato,</w:t>
      </w:r>
      <w:r w:rsidR="00634304">
        <w:t xml:space="preserve"> but also </w:t>
      </w:r>
      <w:r w:rsidR="001719BF">
        <w:t xml:space="preserve">contemporary </w:t>
      </w:r>
      <w:r w:rsidR="00634304">
        <w:t>presentation</w:t>
      </w:r>
      <w:r w:rsidR="001719BF">
        <w:t>s</w:t>
      </w:r>
      <w:r w:rsidR="00634304">
        <w:t xml:space="preserve"> of Platonist doctrine</w:t>
      </w:r>
      <w:r w:rsidR="001719BF">
        <w:t xml:space="preserve"> such as</w:t>
      </w:r>
      <w:r w:rsidR="00634304">
        <w:t xml:space="preserve"> </w:t>
      </w:r>
      <w:proofErr w:type="spellStart"/>
      <w:r w:rsidR="00634304">
        <w:t>Alcinous’s</w:t>
      </w:r>
      <w:proofErr w:type="spellEnd"/>
      <w:r w:rsidR="00634304">
        <w:t xml:space="preserve"> </w:t>
      </w:r>
      <w:proofErr w:type="spellStart"/>
      <w:r w:rsidR="00634304">
        <w:rPr>
          <w:i/>
        </w:rPr>
        <w:t>Didaskalikon</w:t>
      </w:r>
      <w:proofErr w:type="spellEnd"/>
      <w:r w:rsidR="009C4C2D">
        <w:t xml:space="preserve">, likely a rough contemporary to </w:t>
      </w:r>
      <w:proofErr w:type="spellStart"/>
      <w:r w:rsidR="009C4C2D">
        <w:t>Athenagoras</w:t>
      </w:r>
      <w:proofErr w:type="spellEnd"/>
      <w:r w:rsidR="007E6736">
        <w:t xml:space="preserve"> who says</w:t>
      </w:r>
      <w:r w:rsidR="00900EDA">
        <w:t xml:space="preserve"> </w:t>
      </w:r>
      <w:r w:rsidR="007E6736">
        <w:t>the “eternal” (</w:t>
      </w:r>
      <w:r w:rsidR="007E6736">
        <w:rPr>
          <w:lang w:val="el-GR"/>
        </w:rPr>
        <w:t>ἀίδιος</w:t>
      </w:r>
      <w:r w:rsidR="007E6736">
        <w:t xml:space="preserve">) </w:t>
      </w:r>
      <w:r w:rsidR="00900EDA">
        <w:t>God “</w:t>
      </w:r>
      <w:r w:rsidR="007E6736">
        <w:t xml:space="preserve">is </w:t>
      </w:r>
      <w:r w:rsidR="00900EDA">
        <w:t>ineffable and apprehensible by mind alone” (</w:t>
      </w:r>
      <w:r w:rsidR="00900EDA">
        <w:rPr>
          <w:lang w:val="el-GR"/>
        </w:rPr>
        <w:t>Ἄρρητος</w:t>
      </w:r>
      <w:r w:rsidR="00900EDA" w:rsidRPr="00900EDA">
        <w:t xml:space="preserve"> </w:t>
      </w:r>
      <w:r w:rsidR="00900EDA">
        <w:rPr>
          <w:lang w:val="el-GR"/>
        </w:rPr>
        <w:t>δ</w:t>
      </w:r>
      <w:r w:rsidR="00900EDA" w:rsidRPr="00900EDA">
        <w:t xml:space="preserve">’ </w:t>
      </w:r>
      <w:r w:rsidR="00900EDA">
        <w:rPr>
          <w:lang w:val="el-GR"/>
        </w:rPr>
        <w:t>ἐστὶ</w:t>
      </w:r>
      <w:r w:rsidR="00900EDA" w:rsidRPr="00900EDA">
        <w:t xml:space="preserve"> </w:t>
      </w:r>
      <w:r w:rsidR="00900EDA">
        <w:rPr>
          <w:lang w:val="el-GR"/>
        </w:rPr>
        <w:t>καὶ</w:t>
      </w:r>
      <w:r w:rsidR="00900EDA" w:rsidRPr="00900EDA">
        <w:t xml:space="preserve"> </w:t>
      </w:r>
      <w:r w:rsidR="00900EDA">
        <w:rPr>
          <w:lang w:val="el-GR"/>
        </w:rPr>
        <w:t>νῷ</w:t>
      </w:r>
      <w:r w:rsidR="00900EDA" w:rsidRPr="00900EDA">
        <w:t xml:space="preserve"> </w:t>
      </w:r>
      <w:r w:rsidR="00900EDA">
        <w:rPr>
          <w:lang w:val="el-GR"/>
        </w:rPr>
        <w:t>μόνῳ</w:t>
      </w:r>
      <w:r w:rsidR="00900EDA" w:rsidRPr="00900EDA">
        <w:t xml:space="preserve"> </w:t>
      </w:r>
      <w:r w:rsidR="00900EDA">
        <w:rPr>
          <w:lang w:val="el-GR"/>
        </w:rPr>
        <w:t>ληπτός</w:t>
      </w:r>
      <w:r w:rsidR="00900EDA">
        <w:t>)</w:t>
      </w:r>
      <w:r w:rsidR="00634304">
        <w:t>.</w:t>
      </w:r>
      <w:r w:rsidR="00634304">
        <w:rPr>
          <w:rStyle w:val="FootnoteReference"/>
        </w:rPr>
        <w:footnoteReference w:id="6"/>
      </w:r>
      <w:r w:rsidR="00634304">
        <w:t xml:space="preserve"> </w:t>
      </w:r>
      <w:proofErr w:type="spellStart"/>
      <w:r w:rsidR="00634304">
        <w:t>Athenagoras</w:t>
      </w:r>
      <w:proofErr w:type="spellEnd"/>
      <w:r w:rsidR="00634304">
        <w:t xml:space="preserve"> </w:t>
      </w:r>
      <w:r w:rsidR="009C4C2D">
        <w:t>adds</w:t>
      </w:r>
      <w:r w:rsidR="00634304">
        <w:t xml:space="preserve"> that Christians also believe in a Son of God, though not one like the poets write about in their myths. Rather, the Son is “Word of the Father in form and in act” (</w:t>
      </w:r>
      <w:r w:rsidR="00634304">
        <w:rPr>
          <w:lang w:val="el-GR"/>
        </w:rPr>
        <w:t>λόγος</w:t>
      </w:r>
      <w:r w:rsidR="00634304" w:rsidRPr="00767B1C">
        <w:t xml:space="preserve"> </w:t>
      </w:r>
      <w:r w:rsidR="00634304">
        <w:rPr>
          <w:lang w:val="el-GR"/>
        </w:rPr>
        <w:t>τοῦ</w:t>
      </w:r>
      <w:r w:rsidR="00634304" w:rsidRPr="00767B1C">
        <w:t xml:space="preserve"> </w:t>
      </w:r>
      <w:r w:rsidR="00634304">
        <w:rPr>
          <w:lang w:val="el-GR"/>
        </w:rPr>
        <w:t>πατρὸς</w:t>
      </w:r>
      <w:r w:rsidR="00634304" w:rsidRPr="00767B1C">
        <w:t xml:space="preserve"> </w:t>
      </w:r>
      <w:r w:rsidR="00634304">
        <w:rPr>
          <w:lang w:val="el-GR"/>
        </w:rPr>
        <w:t>ἐν</w:t>
      </w:r>
      <w:r w:rsidR="00634304" w:rsidRPr="00767B1C">
        <w:t xml:space="preserve"> </w:t>
      </w:r>
      <w:r w:rsidR="00634304">
        <w:rPr>
          <w:lang w:val="el-GR"/>
        </w:rPr>
        <w:t>ἰδέᾳ</w:t>
      </w:r>
      <w:r w:rsidR="00634304" w:rsidRPr="00767B1C">
        <w:t xml:space="preserve"> </w:t>
      </w:r>
      <w:r w:rsidR="00634304">
        <w:rPr>
          <w:lang w:val="el-GR"/>
        </w:rPr>
        <w:t>καὶ</w:t>
      </w:r>
      <w:r w:rsidR="00634304" w:rsidRPr="00767B1C">
        <w:t xml:space="preserve"> </w:t>
      </w:r>
      <w:r w:rsidR="00634304">
        <w:rPr>
          <w:lang w:val="el-GR"/>
        </w:rPr>
        <w:t>ἐνεργείᾳ</w:t>
      </w:r>
      <w:r w:rsidR="001719BF">
        <w:t>) and</w:t>
      </w:r>
      <w:r w:rsidR="00634304">
        <w:t xml:space="preserve"> the one “from whom and through whom all things come to be” (</w:t>
      </w:r>
      <w:r w:rsidR="00634304">
        <w:rPr>
          <w:lang w:val="el-GR"/>
        </w:rPr>
        <w:t>πρὸς</w:t>
      </w:r>
      <w:r w:rsidR="00634304" w:rsidRPr="0040611B">
        <w:t xml:space="preserve"> </w:t>
      </w:r>
      <w:r w:rsidR="00634304">
        <w:rPr>
          <w:lang w:val="el-GR"/>
        </w:rPr>
        <w:t>αὐτοῦ</w:t>
      </w:r>
      <w:r w:rsidR="00634304" w:rsidRPr="0040611B">
        <w:t xml:space="preserve"> </w:t>
      </w:r>
      <w:r w:rsidR="00634304">
        <w:rPr>
          <w:lang w:val="el-GR"/>
        </w:rPr>
        <w:t>καὶ</w:t>
      </w:r>
      <w:r w:rsidR="00634304" w:rsidRPr="0040611B">
        <w:t xml:space="preserve"> </w:t>
      </w:r>
      <w:r w:rsidR="00634304">
        <w:rPr>
          <w:lang w:val="el-GR"/>
        </w:rPr>
        <w:t>δι</w:t>
      </w:r>
      <w:r w:rsidR="00634304" w:rsidRPr="0040611B">
        <w:t xml:space="preserve">’ </w:t>
      </w:r>
      <w:r w:rsidR="00634304">
        <w:rPr>
          <w:lang w:val="el-GR"/>
        </w:rPr>
        <w:t>αὐτοῦ</w:t>
      </w:r>
      <w:r w:rsidR="00634304" w:rsidRPr="0040611B">
        <w:t xml:space="preserve"> </w:t>
      </w:r>
      <w:r w:rsidR="00634304">
        <w:rPr>
          <w:lang w:val="el-GR"/>
        </w:rPr>
        <w:t>πάντα</w:t>
      </w:r>
      <w:r w:rsidR="00634304" w:rsidRPr="0040611B">
        <w:t xml:space="preserve"> </w:t>
      </w:r>
      <w:r w:rsidR="00634304">
        <w:rPr>
          <w:lang w:val="el-GR"/>
        </w:rPr>
        <w:t>ἐγένετο</w:t>
      </w:r>
      <w:r w:rsidR="001719BF">
        <w:t>)</w:t>
      </w:r>
      <w:r w:rsidR="00634304">
        <w:t>.</w:t>
      </w:r>
      <w:r w:rsidR="00634304">
        <w:rPr>
          <w:rStyle w:val="FootnoteReference"/>
        </w:rPr>
        <w:footnoteReference w:id="7"/>
      </w:r>
      <w:r w:rsidR="00634304">
        <w:t xml:space="preserve"> </w:t>
      </w:r>
      <w:r w:rsidR="001719BF">
        <w:t xml:space="preserve">He is </w:t>
      </w:r>
      <w:r w:rsidR="00634304">
        <w:t>the “mind and reason (</w:t>
      </w:r>
      <w:r w:rsidR="00634304">
        <w:rPr>
          <w:lang w:val="el-GR"/>
        </w:rPr>
        <w:t>νοῦς</w:t>
      </w:r>
      <w:r w:rsidR="00634304" w:rsidRPr="00BD1CAB">
        <w:t xml:space="preserve"> </w:t>
      </w:r>
      <w:r w:rsidR="00634304">
        <w:rPr>
          <w:lang w:val="el-GR"/>
        </w:rPr>
        <w:lastRenderedPageBreak/>
        <w:t>καὶ</w:t>
      </w:r>
      <w:r w:rsidR="00634304" w:rsidRPr="00BD1CAB">
        <w:t xml:space="preserve"> </w:t>
      </w:r>
      <w:r w:rsidR="00634304">
        <w:rPr>
          <w:lang w:val="el-GR"/>
        </w:rPr>
        <w:t>λόγος</w:t>
      </w:r>
      <w:r w:rsidR="00634304">
        <w:t>) of the Father,” who is himself “eternal mind” (</w:t>
      </w:r>
      <w:r w:rsidR="00634304">
        <w:rPr>
          <w:lang w:val="el-GR"/>
        </w:rPr>
        <w:t>νοῦς</w:t>
      </w:r>
      <w:r w:rsidR="00634304" w:rsidRPr="00BF072D">
        <w:t xml:space="preserve"> </w:t>
      </w:r>
      <w:r w:rsidR="00634304">
        <w:rPr>
          <w:lang w:val="el-GR"/>
        </w:rPr>
        <w:t>ἀίδιος</w:t>
      </w:r>
      <w:r w:rsidR="00634304">
        <w:t>)</w:t>
      </w:r>
      <w:r w:rsidR="007E6736">
        <w:t xml:space="preserve">; again, this language has parallels in </w:t>
      </w:r>
      <w:proofErr w:type="spellStart"/>
      <w:r w:rsidR="007E6736">
        <w:t>Alcinous</w:t>
      </w:r>
      <w:proofErr w:type="spellEnd"/>
      <w:r w:rsidR="007E6736">
        <w:t xml:space="preserve">. For </w:t>
      </w:r>
      <w:proofErr w:type="spellStart"/>
      <w:r w:rsidR="007E6736">
        <w:t>Athenagoras</w:t>
      </w:r>
      <w:proofErr w:type="spellEnd"/>
      <w:r w:rsidR="007E6736">
        <w:t>, the Father’s mind</w:t>
      </w:r>
      <w:r w:rsidR="00634304">
        <w:t xml:space="preserve"> is called Son because he “came forth in order to be form and act (</w:t>
      </w:r>
      <w:r w:rsidR="00634304">
        <w:rPr>
          <w:lang w:val="el-GR"/>
        </w:rPr>
        <w:t>ἰδέα</w:t>
      </w:r>
      <w:r w:rsidR="00634304" w:rsidRPr="00D43109">
        <w:t xml:space="preserve"> </w:t>
      </w:r>
      <w:r w:rsidR="00634304">
        <w:rPr>
          <w:lang w:val="el-GR"/>
        </w:rPr>
        <w:t>καὶ</w:t>
      </w:r>
      <w:r w:rsidR="00634304" w:rsidRPr="00D43109">
        <w:t xml:space="preserve"> </w:t>
      </w:r>
      <w:r w:rsidR="00634304">
        <w:rPr>
          <w:lang w:val="el-GR"/>
        </w:rPr>
        <w:t>ἐνέργεια</w:t>
      </w:r>
      <w:r w:rsidR="00634304">
        <w:t>) for all material things.”</w:t>
      </w:r>
      <w:r w:rsidR="00634304">
        <w:rPr>
          <w:rStyle w:val="FootnoteReference"/>
        </w:rPr>
        <w:footnoteReference w:id="8"/>
      </w:r>
      <w:r w:rsidR="00634304">
        <w:t xml:space="preserve"> The generally Platonizing drift </w:t>
      </w:r>
      <w:r w:rsidR="001719BF">
        <w:t xml:space="preserve">of these terse labels </w:t>
      </w:r>
      <w:r w:rsidR="00634304">
        <w:t>is clear</w:t>
      </w:r>
      <w:r w:rsidR="001719BF">
        <w:t xml:space="preserve">. </w:t>
      </w:r>
      <w:proofErr w:type="spellStart"/>
      <w:r w:rsidR="001719BF">
        <w:t>Athenagoras</w:t>
      </w:r>
      <w:proofErr w:type="spellEnd"/>
      <w:r w:rsidR="001719BF">
        <w:t xml:space="preserve"> thinks of the Son in the language of paradigmatic causality</w:t>
      </w:r>
      <w:r w:rsidR="00634304">
        <w:t>.</w:t>
      </w:r>
      <w:r w:rsidR="00634304" w:rsidRPr="00634304">
        <w:t xml:space="preserve"> </w:t>
      </w:r>
    </w:p>
    <w:p w:rsidR="001719BF" w:rsidRDefault="00634304" w:rsidP="009C4C2D">
      <w:pPr>
        <w:spacing w:line="480" w:lineRule="auto"/>
        <w:ind w:firstLine="720"/>
      </w:pPr>
      <w:r>
        <w:t xml:space="preserve">Around 180, </w:t>
      </w:r>
      <w:proofErr w:type="spellStart"/>
      <w:r>
        <w:t>Th</w:t>
      </w:r>
      <w:r w:rsidR="001719BF">
        <w:t>eophilus</w:t>
      </w:r>
      <w:proofErr w:type="spellEnd"/>
      <w:r w:rsidR="001719BF">
        <w:t xml:space="preserve"> of Antioch ascribes two contradictory views to “</w:t>
      </w:r>
      <w:r>
        <w:t>Plato and those of his school</w:t>
      </w:r>
      <w:r w:rsidR="001719BF">
        <w:t>”: first, “</w:t>
      </w:r>
      <w:r>
        <w:t>that God is un</w:t>
      </w:r>
      <w:r w:rsidR="001719BF">
        <w:t>originated</w:t>
      </w:r>
      <w:r>
        <w:t xml:space="preserve"> </w:t>
      </w:r>
      <w:r w:rsidR="001719BF">
        <w:t>(</w:t>
      </w:r>
      <w:r w:rsidR="001719BF">
        <w:rPr>
          <w:lang w:val="el-GR"/>
        </w:rPr>
        <w:t>ἀγενήτον</w:t>
      </w:r>
      <w:r w:rsidR="001719BF">
        <w:t>)</w:t>
      </w:r>
      <w:r w:rsidR="001719BF" w:rsidRPr="001719BF">
        <w:t xml:space="preserve"> </w:t>
      </w:r>
      <w:r>
        <w:t xml:space="preserve">and the </w:t>
      </w:r>
      <w:r w:rsidR="001719BF">
        <w:t>f</w:t>
      </w:r>
      <w:r>
        <w:t xml:space="preserve">ather and </w:t>
      </w:r>
      <w:r w:rsidR="001719BF">
        <w:t>m</w:t>
      </w:r>
      <w:r>
        <w:t xml:space="preserve">aker of </w:t>
      </w:r>
      <w:r w:rsidR="001719BF">
        <w:t>the universe” and, second, “</w:t>
      </w:r>
      <w:r>
        <w:t>that matter as we</w:t>
      </w:r>
      <w:r w:rsidR="001719BF">
        <w:t>ll as God is unoriginated (</w:t>
      </w:r>
      <w:r w:rsidR="001719BF">
        <w:rPr>
          <w:lang w:val="el-GR"/>
        </w:rPr>
        <w:t>ἀγενήτον</w:t>
      </w:r>
      <w:r w:rsidR="001719BF">
        <w:t>).</w:t>
      </w:r>
      <w:r>
        <w:t>”</w:t>
      </w:r>
      <w:r w:rsidR="001719BF">
        <w:rPr>
          <w:rStyle w:val="FootnoteReference"/>
        </w:rPr>
        <w:footnoteReference w:id="9"/>
      </w:r>
      <w:r>
        <w:t xml:space="preserve"> </w:t>
      </w:r>
      <w:r w:rsidR="001719BF">
        <w:t xml:space="preserve">God cannot be maker of all if there is another unmade principle. </w:t>
      </w:r>
      <w:r>
        <w:t xml:space="preserve">In a move that would become customary for Christians, </w:t>
      </w:r>
      <w:proofErr w:type="spellStart"/>
      <w:r>
        <w:t>Theophilus</w:t>
      </w:r>
      <w:proofErr w:type="spellEnd"/>
      <w:r>
        <w:t xml:space="preserve"> sides with the Platonists on the nature of God but against them on matter.</w:t>
      </w:r>
      <w:r w:rsidR="00BA5C0F">
        <w:rPr>
          <w:rStyle w:val="FootnoteReference"/>
        </w:rPr>
        <w:footnoteReference w:id="10"/>
      </w:r>
      <w:r w:rsidR="001719BF">
        <w:t xml:space="preserve"> </w:t>
      </w:r>
      <w:r w:rsidR="00BA5C0F">
        <w:t xml:space="preserve">While </w:t>
      </w:r>
      <w:proofErr w:type="spellStart"/>
      <w:r w:rsidR="00BA5C0F">
        <w:t>Theophilus</w:t>
      </w:r>
      <w:proofErr w:type="spellEnd"/>
      <w:r w:rsidR="00BA5C0F">
        <w:t xml:space="preserve"> does not connect this account of God’s nature with any proto-Trinitarian concerns, the reader cannot miss the partial overlap between Platonist and Christian theology of the first principle</w:t>
      </w:r>
      <w:r w:rsidR="00767BE7">
        <w:t>, as he presents them</w:t>
      </w:r>
      <w:r w:rsidR="00BA5C0F">
        <w:t xml:space="preserve">.  </w:t>
      </w:r>
    </w:p>
    <w:p w:rsidR="00634304" w:rsidRDefault="00634304" w:rsidP="00634304">
      <w:pPr>
        <w:spacing w:line="480" w:lineRule="auto"/>
      </w:pPr>
      <w:r>
        <w:tab/>
        <w:t xml:space="preserve">In his </w:t>
      </w:r>
      <w:proofErr w:type="spellStart"/>
      <w:r>
        <w:rPr>
          <w:i/>
        </w:rPr>
        <w:t>Stromateis</w:t>
      </w:r>
      <w:proofErr w:type="spellEnd"/>
      <w:r w:rsidR="009C4C2D">
        <w:t xml:space="preserve"> (ca. </w:t>
      </w:r>
      <w:r>
        <w:t>200–215), Clement of Alexandria promotes a harmony of the Christian Tri</w:t>
      </w:r>
      <w:r w:rsidR="000F6E2C">
        <w:t>nity with Plato’s theology</w:t>
      </w:r>
      <w:r>
        <w:t xml:space="preserve">. </w:t>
      </w:r>
      <w:r w:rsidR="0089257D">
        <w:t>Note the following</w:t>
      </w:r>
      <w:r>
        <w:t xml:space="preserve"> passage from </w:t>
      </w:r>
      <w:proofErr w:type="spellStart"/>
      <w:r>
        <w:rPr>
          <w:i/>
        </w:rPr>
        <w:t>Stromateis</w:t>
      </w:r>
      <w:proofErr w:type="spellEnd"/>
      <w:r>
        <w:rPr>
          <w:i/>
        </w:rPr>
        <w:t xml:space="preserve"> </w:t>
      </w:r>
      <w:r w:rsidR="00E63D7A">
        <w:t>5, in which</w:t>
      </w:r>
      <w:r w:rsidR="00BA5C0F">
        <w:t xml:space="preserve"> Clement i</w:t>
      </w:r>
      <w:r>
        <w:t xml:space="preserve">s </w:t>
      </w:r>
      <w:r w:rsidR="00BA5C0F">
        <w:t xml:space="preserve">discussing </w:t>
      </w:r>
      <w:proofErr w:type="spellStart"/>
      <w:r>
        <w:rPr>
          <w:i/>
        </w:rPr>
        <w:t>Timaeus</w:t>
      </w:r>
      <w:proofErr w:type="spellEnd"/>
      <w:r>
        <w:t xml:space="preserve"> 41a, where Plato calls the demiurge “Father.”</w:t>
      </w:r>
      <w:r w:rsidR="0089257D">
        <w:rPr>
          <w:rStyle w:val="FootnoteReference"/>
        </w:rPr>
        <w:footnoteReference w:id="11"/>
      </w:r>
      <w:r>
        <w:t xml:space="preserve"> He links this tex</w:t>
      </w:r>
      <w:r w:rsidR="00BA5C0F">
        <w:t xml:space="preserve">t with </w:t>
      </w:r>
      <w:r w:rsidR="0089257D">
        <w:t>both the</w:t>
      </w:r>
      <w:r>
        <w:t xml:space="preserve"> </w:t>
      </w:r>
      <w:r>
        <w:rPr>
          <w:i/>
        </w:rPr>
        <w:t>Second Epistle</w:t>
      </w:r>
      <w:r w:rsidR="00BA5C0F">
        <w:t xml:space="preserve"> of Plato </w:t>
      </w:r>
      <w:r>
        <w:t xml:space="preserve">and the New Testament: </w:t>
      </w:r>
    </w:p>
    <w:p w:rsidR="00615516" w:rsidRDefault="00634304" w:rsidP="00634304">
      <w:pPr>
        <w:spacing w:line="480" w:lineRule="auto"/>
        <w:ind w:left="1440"/>
      </w:pPr>
      <w:r>
        <w:t xml:space="preserve">As a result, when [Plato] says “all things are around the king of all, and all things exist for it, and it is the cause of all beautiful things; and second around the </w:t>
      </w:r>
      <w:r>
        <w:lastRenderedPageBreak/>
        <w:t>secondary things, and third around the tertiary things” (</w:t>
      </w:r>
      <w:r>
        <w:rPr>
          <w:i/>
        </w:rPr>
        <w:t>ep</w:t>
      </w:r>
      <w:r>
        <w:t>. 2, 312e1–4), I for my part cannot understand these words in any other way than as revealing the Holy Trinity: third is the Holy Spirit and the Son is second, “through whom all things came to be” (John 1:3) according to the will of the Father.</w:t>
      </w:r>
      <w:r>
        <w:rPr>
          <w:rStyle w:val="FootnoteReference"/>
        </w:rPr>
        <w:footnoteReference w:id="12"/>
      </w:r>
    </w:p>
    <w:p w:rsidR="00634304" w:rsidRDefault="00286A13" w:rsidP="00615516">
      <w:pPr>
        <w:spacing w:line="480" w:lineRule="auto"/>
      </w:pPr>
      <w:r>
        <w:t>While some</w:t>
      </w:r>
      <w:r w:rsidR="000F6E2C">
        <w:t xml:space="preserve"> in the mainstream </w:t>
      </w:r>
      <w:r w:rsidR="0089257D">
        <w:t>Platonist tradition</w:t>
      </w:r>
      <w:r w:rsidR="000F6E2C">
        <w:t xml:space="preserve"> might have balked at </w:t>
      </w:r>
      <w:proofErr w:type="spellStart"/>
      <w:r w:rsidR="000F6E2C">
        <w:t>Clement’s</w:t>
      </w:r>
      <w:proofErr w:type="spellEnd"/>
      <w:r w:rsidR="000F6E2C">
        <w:t xml:space="preserve"> </w:t>
      </w:r>
      <w:r w:rsidR="0089257D">
        <w:t>connect</w:t>
      </w:r>
      <w:r w:rsidR="000F6E2C">
        <w:t>ion of</w:t>
      </w:r>
      <w:r w:rsidR="0089257D">
        <w:t xml:space="preserve"> P</w:t>
      </w:r>
      <w:r w:rsidR="000F6E2C">
        <w:t>lato with John’s Gospel</w:t>
      </w:r>
      <w:r w:rsidR="0089257D">
        <w:t xml:space="preserve">, </w:t>
      </w:r>
      <w:r w:rsidR="000F6E2C">
        <w:t>his</w:t>
      </w:r>
      <w:r w:rsidR="0089257D">
        <w:t xml:space="preserve"> </w:t>
      </w:r>
      <w:r w:rsidR="000F6E2C">
        <w:t xml:space="preserve">“Trinitarian” </w:t>
      </w:r>
      <w:r w:rsidR="0089257D">
        <w:t xml:space="preserve">reading of the </w:t>
      </w:r>
      <w:r w:rsidR="0089257D">
        <w:rPr>
          <w:i/>
        </w:rPr>
        <w:t>Second Epistle</w:t>
      </w:r>
      <w:r w:rsidR="0089257D">
        <w:t xml:space="preserve"> was not strange</w:t>
      </w:r>
      <w:r w:rsidR="00634304">
        <w:t>.</w:t>
      </w:r>
      <w:r w:rsidR="0089257D">
        <w:rPr>
          <w:rStyle w:val="FootnoteReference"/>
        </w:rPr>
        <w:footnoteReference w:id="13"/>
      </w:r>
      <w:r w:rsidR="00767BE7">
        <w:t xml:space="preserve"> </w:t>
      </w:r>
      <w:r w:rsidR="00634304">
        <w:t xml:space="preserve">Plotinus </w:t>
      </w:r>
      <w:r w:rsidR="00BA5C0F">
        <w:t>uses</w:t>
      </w:r>
      <w:r w:rsidR="00634304">
        <w:t xml:space="preserve"> the same Platonic text to a similar end:</w:t>
      </w:r>
    </w:p>
    <w:p w:rsidR="00634304" w:rsidRDefault="00634304" w:rsidP="00634304">
      <w:pPr>
        <w:spacing w:line="480" w:lineRule="auto"/>
        <w:ind w:left="1440"/>
      </w:pPr>
      <w:r>
        <w:t>And it is also because of this that we get Plato’s threefold division: the things “around the king of all” —he says this, meaning the primary things — “second around the secondary things,” and “third around the tertiary things.” And he says there is a “father of the cause,” meaning by “cause” (</w:t>
      </w:r>
      <w:proofErr w:type="spellStart"/>
      <w:r>
        <w:rPr>
          <w:i/>
        </w:rPr>
        <w:t>aition</w:t>
      </w:r>
      <w:proofErr w:type="spellEnd"/>
      <w:r>
        <w:t>) Intellect. For the Intellect is his Demiurge. And he says that the Demiurge makes the Soul in that “mixing-bowl.” And since the Intellect is cause, he means by “father” the Good, or that which transcends Intellect and “transcends Substantiality”.</w:t>
      </w:r>
      <w:r>
        <w:rPr>
          <w:rStyle w:val="FootnoteReference"/>
        </w:rPr>
        <w:footnoteReference w:id="14"/>
      </w:r>
    </w:p>
    <w:p w:rsidR="00634304" w:rsidRDefault="00B34A7B" w:rsidP="00634304">
      <w:pPr>
        <w:spacing w:line="480" w:lineRule="auto"/>
      </w:pPr>
      <w:r>
        <w:t xml:space="preserve">The </w:t>
      </w:r>
      <w:r>
        <w:rPr>
          <w:i/>
        </w:rPr>
        <w:t>Ennead</w:t>
      </w:r>
      <w:r>
        <w:t xml:space="preserve"> from which this quote is taken (5.1) b</w:t>
      </w:r>
      <w:r w:rsidR="00C07392">
        <w:t xml:space="preserve">ecame a favorite for Christians beginning with Eusebius of Caesarea, who </w:t>
      </w:r>
      <w:r w:rsidR="000F6E2C">
        <w:t xml:space="preserve">cited it in his </w:t>
      </w:r>
      <w:r w:rsidR="000F6E2C">
        <w:rPr>
          <w:i/>
        </w:rPr>
        <w:t>Preparation for the Gospel</w:t>
      </w:r>
      <w:r w:rsidR="00C07392">
        <w:t xml:space="preserve"> as a parallel </w:t>
      </w:r>
      <w:r w:rsidR="000F6E2C">
        <w:t>with the Christian Trinity.</w:t>
      </w:r>
      <w:r w:rsidR="005B2E54">
        <w:rPr>
          <w:rStyle w:val="FootnoteReference"/>
        </w:rPr>
        <w:footnoteReference w:id="15"/>
      </w:r>
    </w:p>
    <w:p w:rsidR="00634304" w:rsidRDefault="00C12941" w:rsidP="00C12941">
      <w:pPr>
        <w:spacing w:line="480" w:lineRule="auto"/>
        <w:ind w:firstLine="720"/>
      </w:pPr>
      <w:r>
        <w:t>Within</w:t>
      </w:r>
      <w:r w:rsidR="0076344F">
        <w:t xml:space="preserve"> the Latin</w:t>
      </w:r>
      <w:r>
        <w:t xml:space="preserve"> </w:t>
      </w:r>
      <w:r w:rsidR="0076344F">
        <w:t>tradition, t</w:t>
      </w:r>
      <w:r>
        <w:t xml:space="preserve">he harmonization effort </w:t>
      </w:r>
      <w:r w:rsidR="0057128D">
        <w:t xml:space="preserve">in a sense </w:t>
      </w:r>
      <w:r>
        <w:t>begins</w:t>
      </w:r>
      <w:r w:rsidR="0076344F">
        <w:t xml:space="preserve"> with Marius </w:t>
      </w:r>
      <w:proofErr w:type="spellStart"/>
      <w:r w:rsidR="00634304">
        <w:t>Victorinus</w:t>
      </w:r>
      <w:r w:rsidR="0057128D">
        <w:t>’s</w:t>
      </w:r>
      <w:proofErr w:type="spellEnd"/>
      <w:r w:rsidR="0057128D">
        <w:t xml:space="preserve"> </w:t>
      </w:r>
      <w:r w:rsidR="007C7B32">
        <w:t>Trinitarian works</w:t>
      </w:r>
      <w:r w:rsidR="00131882">
        <w:rPr>
          <w:i/>
        </w:rPr>
        <w:t xml:space="preserve"> </w:t>
      </w:r>
      <w:r w:rsidR="007C7B32">
        <w:t>(359–62</w:t>
      </w:r>
      <w:r w:rsidR="0057128D">
        <w:t xml:space="preserve">). On one hand, </w:t>
      </w:r>
      <w:r w:rsidR="007C7B32">
        <w:t xml:space="preserve">especially in </w:t>
      </w:r>
      <w:r w:rsidR="007C7B32">
        <w:rPr>
          <w:i/>
        </w:rPr>
        <w:t>Against Arius</w:t>
      </w:r>
      <w:r w:rsidR="007C7B32">
        <w:t xml:space="preserve">, </w:t>
      </w:r>
      <w:proofErr w:type="spellStart"/>
      <w:r w:rsidR="0057128D">
        <w:t>Victorinus</w:t>
      </w:r>
      <w:proofErr w:type="spellEnd"/>
      <w:r w:rsidR="0057128D">
        <w:t xml:space="preserve"> </w:t>
      </w:r>
      <w:r w:rsidR="0057128D">
        <w:lastRenderedPageBreak/>
        <w:t>speaks of the Trinity in highly Platonic language; on the other hand, he does not mention any non-Christian author or</w:t>
      </w:r>
      <w:r w:rsidR="007C7B32">
        <w:t xml:space="preserve"> directly</w:t>
      </w:r>
      <w:r w:rsidR="0057128D">
        <w:t xml:space="preserve"> quote any text</w:t>
      </w:r>
      <w:r w:rsidR="00131882">
        <w:t xml:space="preserve">. </w:t>
      </w:r>
      <w:r w:rsidR="0057128D">
        <w:t xml:space="preserve">Scholarly discussion has focused on the question of what was </w:t>
      </w:r>
      <w:proofErr w:type="spellStart"/>
      <w:r w:rsidR="0057128D">
        <w:t>Victorinus’s</w:t>
      </w:r>
      <w:proofErr w:type="spellEnd"/>
      <w:r w:rsidR="0057128D">
        <w:t xml:space="preserve"> source, but the sheer fact that he left the source unnamed is noteworthy for present purpose</w:t>
      </w:r>
      <w:r w:rsidR="007F7015">
        <w:t>s</w:t>
      </w:r>
      <w:r w:rsidR="0057128D">
        <w:t>, since his silence differs from other Christian texts that name their non-Christian interlocutors.</w:t>
      </w:r>
      <w:r w:rsidR="0057128D">
        <w:rPr>
          <w:rStyle w:val="FootnoteReference"/>
        </w:rPr>
        <w:footnoteReference w:id="16"/>
      </w:r>
      <w:r w:rsidR="0057128D">
        <w:t xml:space="preserve"> In addition to his Trinitarian works, we know that </w:t>
      </w:r>
      <w:proofErr w:type="spellStart"/>
      <w:r w:rsidR="00131882">
        <w:t>Victorinus</w:t>
      </w:r>
      <w:proofErr w:type="spellEnd"/>
      <w:r w:rsidR="0057128D">
        <w:t xml:space="preserve"> translated </w:t>
      </w:r>
      <w:r w:rsidR="00B20B36">
        <w:t xml:space="preserve">into Latin </w:t>
      </w:r>
      <w:r w:rsidR="00767BE7">
        <w:t>“certain books of the Platonists</w:t>
      </w:r>
      <w:r w:rsidR="007E6736">
        <w:t>,</w:t>
      </w:r>
      <w:r>
        <w:t>”</w:t>
      </w:r>
      <w:r w:rsidR="007E6736">
        <w:t xml:space="preserve"> likely works of Plotinus and perhaps Porphyry too, which Augustine read in Milan in 385 shortly before his conversion.</w:t>
      </w:r>
      <w:r w:rsidR="00767BE7">
        <w:rPr>
          <w:rStyle w:val="FootnoteReference"/>
        </w:rPr>
        <w:footnoteReference w:id="17"/>
      </w:r>
      <w:r>
        <w:t xml:space="preserve"> </w:t>
      </w:r>
      <w:r w:rsidR="00131882">
        <w:t>In</w:t>
      </w:r>
      <w:r w:rsidR="0057128D">
        <w:t xml:space="preserve"> a famous harmonization passage in</w:t>
      </w:r>
      <w:r w:rsidR="00131882">
        <w:t xml:space="preserve"> </w:t>
      </w:r>
      <w:r w:rsidR="00634304">
        <w:rPr>
          <w:i/>
        </w:rPr>
        <w:t xml:space="preserve">Confessions </w:t>
      </w:r>
      <w:r w:rsidR="006802B4">
        <w:t>VII, Augustine</w:t>
      </w:r>
      <w:r w:rsidR="00131882">
        <w:t xml:space="preserve"> re</w:t>
      </w:r>
      <w:r w:rsidR="006802B4">
        <w:t>counts</w:t>
      </w:r>
      <w:r w:rsidR="00131882">
        <w:t xml:space="preserve"> </w:t>
      </w:r>
      <w:r w:rsidR="00634304">
        <w:t xml:space="preserve">what he </w:t>
      </w:r>
      <w:r w:rsidR="006802B4">
        <w:t xml:space="preserve">had </w:t>
      </w:r>
      <w:r w:rsidR="00634304">
        <w:t>found</w:t>
      </w:r>
      <w:r w:rsidR="006802B4">
        <w:t>, over a decade</w:t>
      </w:r>
      <w:r w:rsidR="00131882">
        <w:t xml:space="preserve"> earlier,</w:t>
      </w:r>
      <w:r w:rsidR="006802B4">
        <w:t xml:space="preserve"> when he first encountered</w:t>
      </w:r>
      <w:r w:rsidR="00634304">
        <w:t xml:space="preserve"> the</w:t>
      </w:r>
      <w:r w:rsidR="00131882">
        <w:t>se</w:t>
      </w:r>
      <w:r>
        <w:t xml:space="preserve"> books</w:t>
      </w:r>
      <w:r w:rsidR="00634304">
        <w:t xml:space="preserve">: </w:t>
      </w:r>
    </w:p>
    <w:p w:rsidR="00634304" w:rsidRDefault="00634304" w:rsidP="00634304">
      <w:pPr>
        <w:spacing w:line="480" w:lineRule="auto"/>
        <w:ind w:left="1440"/>
      </w:pPr>
      <w:r>
        <w:t>There I read, not of course in these words, but with entire the same sense and supported by numerous and varied reasons, “In the beginning was the Word and the Word was with God and the Word was God. He was in the beginning with God. All things were made by him, and without him nothing was made. What was made is life in him; and the life was the light of men. And the light shone in the darkness, and the darkness did not comprehend it” (John 1:1–3).</w:t>
      </w:r>
      <w:r>
        <w:rPr>
          <w:rStyle w:val="FootnoteReference"/>
        </w:rPr>
        <w:footnoteReference w:id="18"/>
      </w:r>
    </w:p>
    <w:p w:rsidR="00634304" w:rsidRDefault="006802B4" w:rsidP="00634304">
      <w:pPr>
        <w:spacing w:line="480" w:lineRule="auto"/>
      </w:pPr>
      <w:r>
        <w:t xml:space="preserve"> </w:t>
      </w:r>
      <w:r w:rsidR="00767BE7">
        <w:t>Augustine’s harmonization</w:t>
      </w:r>
      <w:r w:rsidR="00634304">
        <w:t xml:space="preserve"> is not merely a product of the argument of </w:t>
      </w:r>
      <w:r w:rsidR="00634304">
        <w:rPr>
          <w:i/>
        </w:rPr>
        <w:t>Confessions</w:t>
      </w:r>
      <w:r w:rsidR="00634304">
        <w:t xml:space="preserve"> VII. In </w:t>
      </w:r>
      <w:r w:rsidR="00634304">
        <w:rPr>
          <w:i/>
        </w:rPr>
        <w:t>City of God</w:t>
      </w:r>
      <w:r w:rsidR="00634304">
        <w:t xml:space="preserve"> X</w:t>
      </w:r>
      <w:r w:rsidR="003A31E2">
        <w:t>, he characterizes Porphyry’s</w:t>
      </w:r>
      <w:r w:rsidR="00F2629F">
        <w:t xml:space="preserve"> of first principles similarly: </w:t>
      </w:r>
      <w:r w:rsidR="00634304">
        <w:t>“he here refers to God the Father and God the Son, Whom he calls in Greek the intellect or mind of the Father.”</w:t>
      </w:r>
      <w:r w:rsidR="00634304">
        <w:rPr>
          <w:rStyle w:val="FootnoteReference"/>
        </w:rPr>
        <w:footnoteReference w:id="19"/>
      </w:r>
      <w:r w:rsidR="00767BE7">
        <w:t xml:space="preserve"> In both </w:t>
      </w:r>
      <w:r w:rsidR="00767BE7">
        <w:lastRenderedPageBreak/>
        <w:t>works, Augustine presumes</w:t>
      </w:r>
      <w:r w:rsidR="00634304">
        <w:t xml:space="preserve"> </w:t>
      </w:r>
      <w:r w:rsidR="00767BE7">
        <w:t>that the two traditions refer to the same subjects,</w:t>
      </w:r>
      <w:r w:rsidR="00634304">
        <w:t xml:space="preserve"> despite differences of nomenclature.</w:t>
      </w:r>
    </w:p>
    <w:p w:rsidR="005D5BD1" w:rsidRDefault="003F50D7" w:rsidP="00634304">
      <w:pPr>
        <w:spacing w:line="480" w:lineRule="auto"/>
      </w:pPr>
      <w:r>
        <w:tab/>
      </w:r>
      <w:r w:rsidR="00BF2299">
        <w:t xml:space="preserve">We can mention two similar instances from fifth-century Greek </w:t>
      </w:r>
      <w:r w:rsidR="000F6E2C">
        <w:t>Christianity</w:t>
      </w:r>
      <w:r w:rsidR="00BF2299">
        <w:t xml:space="preserve">. </w:t>
      </w:r>
      <w:proofErr w:type="spellStart"/>
      <w:r>
        <w:t>Theodoret</w:t>
      </w:r>
      <w:proofErr w:type="spellEnd"/>
      <w:r w:rsidR="00D27A6E">
        <w:t xml:space="preserve"> of </w:t>
      </w:r>
      <w:proofErr w:type="spellStart"/>
      <w:r w:rsidR="00D27A6E">
        <w:t>Cyrrhus</w:t>
      </w:r>
      <w:proofErr w:type="spellEnd"/>
      <w:r w:rsidR="00D27A6E">
        <w:t xml:space="preserve"> cites various Platonists in his apologetic </w:t>
      </w:r>
      <w:r w:rsidR="00D27A6E">
        <w:rPr>
          <w:i/>
        </w:rPr>
        <w:t>Cure of Greek Maladies</w:t>
      </w:r>
      <w:r w:rsidR="003C552B">
        <w:rPr>
          <w:i/>
        </w:rPr>
        <w:t xml:space="preserve"> </w:t>
      </w:r>
      <w:r w:rsidR="003C552B">
        <w:t>(unknown date, prior to 449)</w:t>
      </w:r>
      <w:r w:rsidR="00D27A6E">
        <w:t xml:space="preserve">. </w:t>
      </w:r>
      <w:proofErr w:type="spellStart"/>
      <w:r w:rsidR="005B2E54">
        <w:t>Theodoret</w:t>
      </w:r>
      <w:proofErr w:type="spellEnd"/>
      <w:r w:rsidR="005B2E54">
        <w:t xml:space="preserve"> groups Plotinus together with </w:t>
      </w:r>
      <w:proofErr w:type="spellStart"/>
      <w:r w:rsidR="005B2E54">
        <w:t>Numenius</w:t>
      </w:r>
      <w:proofErr w:type="spellEnd"/>
      <w:r w:rsidR="005B2E54">
        <w:t xml:space="preserve">, probably following Eusebius. </w:t>
      </w:r>
      <w:r w:rsidR="00D27A6E">
        <w:t xml:space="preserve">After citing </w:t>
      </w:r>
      <w:r w:rsidR="00D27A6E">
        <w:rPr>
          <w:i/>
        </w:rPr>
        <w:t>Ennead</w:t>
      </w:r>
      <w:r w:rsidR="003C552B">
        <w:t xml:space="preserve"> 5.1, </w:t>
      </w:r>
      <w:proofErr w:type="spellStart"/>
      <w:r w:rsidR="003C552B">
        <w:t>Theodoret</w:t>
      </w:r>
      <w:proofErr w:type="spellEnd"/>
      <w:r w:rsidR="00D27A6E">
        <w:t xml:space="preserve"> </w:t>
      </w:r>
      <w:r w:rsidR="005B2E54">
        <w:t>harmonizes these two Platonists’</w:t>
      </w:r>
      <w:r w:rsidR="00BF4C60">
        <w:t xml:space="preserve"> triad with Christian teaching:</w:t>
      </w:r>
    </w:p>
    <w:p w:rsidR="003C552B" w:rsidRDefault="005D5BD1" w:rsidP="00BF2299">
      <w:pPr>
        <w:spacing w:line="480" w:lineRule="auto"/>
        <w:ind w:left="1440"/>
      </w:pPr>
      <w:r>
        <w:t xml:space="preserve">Plotinus and </w:t>
      </w:r>
      <w:proofErr w:type="spellStart"/>
      <w:r>
        <w:t>Numenius</w:t>
      </w:r>
      <w:proofErr w:type="spellEnd"/>
      <w:r>
        <w:t xml:space="preserve"> claimed that [Plato] said there are three beyond time and eternal—the Good, Intellect, and the All-Soul—giving the name ‘the Good’ to the one we call Father; and ‘Intellect’ to the one we entitle ‘Son’ and ‘Word’; and calling ‘Soul’ the power that gives life to and animates all things, which the divine books entitle ‘Holy Spirit’.</w:t>
      </w:r>
      <w:r>
        <w:rPr>
          <w:rStyle w:val="FootnoteReference"/>
        </w:rPr>
        <w:footnoteReference w:id="20"/>
      </w:r>
      <w:r w:rsidR="00BF2299">
        <w:t xml:space="preserve"> </w:t>
      </w:r>
    </w:p>
    <w:p w:rsidR="00634304" w:rsidRDefault="00FB719B" w:rsidP="00BF2299">
      <w:pPr>
        <w:spacing w:line="480" w:lineRule="auto"/>
      </w:pPr>
      <w:proofErr w:type="spellStart"/>
      <w:r>
        <w:t>Theodoret’s</w:t>
      </w:r>
      <w:proofErr w:type="spellEnd"/>
      <w:r>
        <w:t xml:space="preserve"> rival </w:t>
      </w:r>
      <w:r w:rsidR="00BF2299">
        <w:t>Cyril of</w:t>
      </w:r>
      <w:r>
        <w:t xml:space="preserve"> Alexandria, in Book VIII of</w:t>
      </w:r>
      <w:r w:rsidR="005F65B6">
        <w:t xml:space="preserve"> </w:t>
      </w:r>
      <w:proofErr w:type="gramStart"/>
      <w:r w:rsidR="005F65B6">
        <w:rPr>
          <w:i/>
        </w:rPr>
        <w:t>Against</w:t>
      </w:r>
      <w:proofErr w:type="gramEnd"/>
      <w:r w:rsidR="005F65B6">
        <w:rPr>
          <w:i/>
        </w:rPr>
        <w:t xml:space="preserve"> Julian</w:t>
      </w:r>
      <w:r w:rsidR="005F65B6">
        <w:t xml:space="preserve">, </w:t>
      </w:r>
      <w:r w:rsidR="00634304">
        <w:t>correlates Plotinus’s three hypost</w:t>
      </w:r>
      <w:r w:rsidR="003C552B">
        <w:t>ases with the Christian Trinity</w:t>
      </w:r>
      <w:r w:rsidR="005F65B6">
        <w:t xml:space="preserve"> in precisely the way we have se</w:t>
      </w:r>
      <w:r>
        <w:t xml:space="preserve">en in Augustine and </w:t>
      </w:r>
      <w:proofErr w:type="spellStart"/>
      <w:r>
        <w:t>Theodoret</w:t>
      </w:r>
      <w:proofErr w:type="spellEnd"/>
      <w:r>
        <w:t>. T</w:t>
      </w:r>
      <w:r w:rsidR="005F65B6">
        <w:t xml:space="preserve">he </w:t>
      </w:r>
      <w:r w:rsidR="005F65B6" w:rsidRPr="007C7B32">
        <w:t>presumption is that Plotinus merely gave different names for the Father, Son, and Holy Spirit</w:t>
      </w:r>
      <w:r w:rsidR="003C552B" w:rsidRPr="007C7B32">
        <w:t>.</w:t>
      </w:r>
      <w:r w:rsidRPr="007C7B32">
        <w:t xml:space="preserve"> For instance, after citing </w:t>
      </w:r>
      <w:r w:rsidRPr="007C7B32">
        <w:rPr>
          <w:i/>
        </w:rPr>
        <w:t>Ennead</w:t>
      </w:r>
      <w:r w:rsidRPr="007C7B32">
        <w:t xml:space="preserve"> 5.1.2 on the World Soul, Cyril asks rhetorically: “Does he then not clearly and in the plainest terms describe the creative and life-giving operation of the Holy Spirit among us ourselves?”</w:t>
      </w:r>
      <w:r w:rsidRPr="007C7B32">
        <w:rPr>
          <w:rStyle w:val="FootnoteReference"/>
        </w:rPr>
        <w:footnoteReference w:id="21"/>
      </w:r>
      <w:r w:rsidR="006B6782" w:rsidRPr="007C7B32">
        <w:t xml:space="preserve"> </w:t>
      </w:r>
      <w:r w:rsidR="00BF2299" w:rsidRPr="007C7B32">
        <w:t>Cyril’s emphasis</w:t>
      </w:r>
      <w:r w:rsidR="00BF2299">
        <w:t xml:space="preserve"> on the harmony between Plotinus and Christianity serves his agenda, as he </w:t>
      </w:r>
      <w:r w:rsidR="007C7B32">
        <w:t>debunks Julian’s anti-Trinitarian arguments through appeals to Christian scripture and to Julian’s own Hellenic tradition</w:t>
      </w:r>
      <w:r w:rsidR="00BF2299">
        <w:t xml:space="preserve">. Differently from Augustine </w:t>
      </w:r>
      <w:r w:rsidR="00BF2299">
        <w:lastRenderedPageBreak/>
        <w:t>and</w:t>
      </w:r>
      <w:r w:rsidR="005F65B6">
        <w:t xml:space="preserve"> </w:t>
      </w:r>
      <w:proofErr w:type="spellStart"/>
      <w:r w:rsidR="005F65B6">
        <w:t>Theodoret</w:t>
      </w:r>
      <w:proofErr w:type="spellEnd"/>
      <w:r w:rsidR="005F65B6">
        <w:t xml:space="preserve">, </w:t>
      </w:r>
      <w:r w:rsidR="00BF2299">
        <w:t xml:space="preserve">however, </w:t>
      </w:r>
      <w:r w:rsidR="005F65B6">
        <w:t>Cyril also points out the differences in theology, noting</w:t>
      </w:r>
      <w:r w:rsidR="00634304">
        <w:t xml:space="preserve"> that </w:t>
      </w:r>
      <w:r w:rsidR="003C552B">
        <w:t xml:space="preserve">Plotinus lacks </w:t>
      </w:r>
      <w:r w:rsidR="00634304">
        <w:t>the confession of consubstantiality</w:t>
      </w:r>
      <w:r w:rsidR="00BF2299">
        <w:t xml:space="preserve"> and posits a diversity of natures among his three hypo</w:t>
      </w:r>
      <w:r w:rsidR="00F2629F">
        <w:t>stases, a point to which we will return</w:t>
      </w:r>
      <w:r w:rsidR="00BF2299">
        <w:t xml:space="preserve">. </w:t>
      </w:r>
    </w:p>
    <w:p w:rsidR="002409D5" w:rsidRDefault="00E03613" w:rsidP="00BF2299">
      <w:pPr>
        <w:spacing w:line="480" w:lineRule="auto"/>
      </w:pPr>
      <w:r>
        <w:tab/>
        <w:t>The instances cited thus far contain overt references to or citations of Plato and Platonists</w:t>
      </w:r>
      <w:r w:rsidR="00634304">
        <w:t xml:space="preserve">. </w:t>
      </w:r>
      <w:r w:rsidR="00C07392">
        <w:t xml:space="preserve">There were </w:t>
      </w:r>
      <w:r>
        <w:t xml:space="preserve">subtler ways of </w:t>
      </w:r>
      <w:r w:rsidR="00C07392">
        <w:t>harmonizing the Platonist hypostases with</w:t>
      </w:r>
      <w:r>
        <w:t xml:space="preserve"> Trinitarian theology</w:t>
      </w:r>
      <w:r w:rsidR="00C45329">
        <w:t>, which we can bypass</w:t>
      </w:r>
      <w:r w:rsidR="00634304">
        <w:t>.</w:t>
      </w:r>
      <w:r w:rsidR="00C07392">
        <w:rPr>
          <w:rStyle w:val="FootnoteReference"/>
        </w:rPr>
        <w:footnoteReference w:id="22"/>
      </w:r>
      <w:r w:rsidR="00634304">
        <w:t xml:space="preserve"> </w:t>
      </w:r>
      <w:r w:rsidR="00C45329">
        <w:t xml:space="preserve">The </w:t>
      </w:r>
      <w:r w:rsidR="00362185">
        <w:t xml:space="preserve">evidence </w:t>
      </w:r>
      <w:r w:rsidR="00C45329">
        <w:t xml:space="preserve">cited here </w:t>
      </w:r>
      <w:r w:rsidR="00DA54F7">
        <w:t xml:space="preserve">is not meant to suggest that Christian and Platonist Trinities were identical, or that the very idea of a Trinity was originally Platonist. The goal is merely to indicate the extent to which </w:t>
      </w:r>
      <w:r w:rsidR="00362185">
        <w:t xml:space="preserve">Christians were eager to harmonize their ideas with those of the Platonic tradition. </w:t>
      </w:r>
      <w:r w:rsidR="00DA54F7">
        <w:t>Without taking the two traditions as identical, one can still hold that t</w:t>
      </w:r>
      <w:r w:rsidR="00966675">
        <w:t xml:space="preserve">he similarities were </w:t>
      </w:r>
      <w:r w:rsidR="00DA54F7">
        <w:t xml:space="preserve">more than </w:t>
      </w:r>
      <w:r w:rsidR="00362185">
        <w:t>superficial</w:t>
      </w:r>
      <w:r w:rsidR="00DA54F7">
        <w:t xml:space="preserve">. They were more than </w:t>
      </w:r>
      <w:r w:rsidR="00966675">
        <w:t xml:space="preserve">purely apologetic or conciliatory olive branches that </w:t>
      </w:r>
      <w:r w:rsidR="00362185">
        <w:t>did not touch t</w:t>
      </w:r>
      <w:r w:rsidR="00966675">
        <w:t xml:space="preserve">he core of Christian teaching. </w:t>
      </w:r>
      <w:r w:rsidR="00DA54F7">
        <w:t xml:space="preserve">However, the view </w:t>
      </w:r>
      <w:r w:rsidR="002409D5">
        <w:t xml:space="preserve">that Christian </w:t>
      </w:r>
      <w:proofErr w:type="spellStart"/>
      <w:r w:rsidR="002409D5">
        <w:t>Trinitarianism</w:t>
      </w:r>
      <w:proofErr w:type="spellEnd"/>
      <w:r w:rsidR="002409D5">
        <w:t xml:space="preserve"> was only inc</w:t>
      </w:r>
      <w:r w:rsidR="00DA54F7">
        <w:t>identally related to Platonism i</w:t>
      </w:r>
      <w:r w:rsidR="002409D5">
        <w:t xml:space="preserve">s </w:t>
      </w:r>
      <w:r w:rsidR="00DA54F7">
        <w:t>not uncommon</w:t>
      </w:r>
      <w:r w:rsidR="002409D5">
        <w:t xml:space="preserve"> within Christian theology today. To explai</w:t>
      </w:r>
      <w:r w:rsidR="000F6E2C">
        <w:t>n the foundations of this prevalent theological opinion</w:t>
      </w:r>
      <w:r w:rsidR="002409D5">
        <w:t xml:space="preserve">, we must </w:t>
      </w:r>
      <w:r w:rsidR="00BF2299">
        <w:t>examine</w:t>
      </w:r>
      <w:r w:rsidR="002409D5">
        <w:t xml:space="preserve"> two scholarly tropes that have contributed to its dissemination. </w:t>
      </w:r>
      <w:r w:rsidR="0057216B">
        <w:t>Once</w:t>
      </w:r>
      <w:r w:rsidR="009E5CAB">
        <w:t xml:space="preserve"> we have identified these </w:t>
      </w:r>
      <w:r w:rsidR="00D27A6E">
        <w:t>tropes, which often function</w:t>
      </w:r>
      <w:r w:rsidR="0089257D">
        <w:t xml:space="preserve"> </w:t>
      </w:r>
      <w:r w:rsidR="00D27A6E">
        <w:t xml:space="preserve">as </w:t>
      </w:r>
      <w:r w:rsidR="009E5CAB">
        <w:t xml:space="preserve">hidden </w:t>
      </w:r>
      <w:r w:rsidR="00D27A6E">
        <w:t xml:space="preserve">and unstated </w:t>
      </w:r>
      <w:r w:rsidR="009E5CAB">
        <w:t>assumptions</w:t>
      </w:r>
      <w:r w:rsidR="000F6E2C">
        <w:t xml:space="preserve"> in contemporary theology</w:t>
      </w:r>
      <w:r w:rsidR="00D27A6E">
        <w:t>,</w:t>
      </w:r>
      <w:r w:rsidR="0057216B">
        <w:t xml:space="preserve"> </w:t>
      </w:r>
      <w:r w:rsidR="009E5CAB">
        <w:t xml:space="preserve">we </w:t>
      </w:r>
      <w:r w:rsidR="0057216B">
        <w:t>will better positioned</w:t>
      </w:r>
      <w:r w:rsidR="009E5CAB">
        <w:t xml:space="preserve"> to offer a sympathe</w:t>
      </w:r>
      <w:r w:rsidR="00C45329">
        <w:t>tic picture of late ancient pro-</w:t>
      </w:r>
      <w:r w:rsidR="009E5CAB">
        <w:t xml:space="preserve">Nicene </w:t>
      </w:r>
      <w:proofErr w:type="spellStart"/>
      <w:r w:rsidR="009E5CAB">
        <w:t>Trinitarianism</w:t>
      </w:r>
      <w:proofErr w:type="spellEnd"/>
      <w:r w:rsidR="009E5CAB">
        <w:t xml:space="preserve"> as integrally related to Christian Platonism. </w:t>
      </w:r>
      <w:r w:rsidR="00DA54F7">
        <w:t xml:space="preserve">As we will see, the influence goes deeper than the attempts noted above at harmonization. </w:t>
      </w:r>
    </w:p>
    <w:p w:rsidR="009E5CAB" w:rsidRDefault="009E5CAB" w:rsidP="00634304">
      <w:pPr>
        <w:spacing w:line="480" w:lineRule="auto"/>
      </w:pPr>
    </w:p>
    <w:p w:rsidR="009E5CAB" w:rsidRDefault="00854522" w:rsidP="00634304">
      <w:pPr>
        <w:spacing w:line="480" w:lineRule="auto"/>
      </w:pPr>
      <w:r>
        <w:rPr>
          <w:i/>
        </w:rPr>
        <w:t>Arianism as Platonism?</w:t>
      </w:r>
    </w:p>
    <w:p w:rsidR="00903D83" w:rsidRDefault="00D27A6E" w:rsidP="00903D83">
      <w:pPr>
        <w:spacing w:line="480" w:lineRule="auto"/>
      </w:pPr>
      <w:r>
        <w:lastRenderedPageBreak/>
        <w:t>One</w:t>
      </w:r>
      <w:r w:rsidR="00854522">
        <w:t xml:space="preserve"> major obstacle to a sympathetic portrait of Platonism within </w:t>
      </w:r>
      <w:r w:rsidR="00BB2ADB">
        <w:t xml:space="preserve">Trinitarian theology is the common </w:t>
      </w:r>
      <w:r>
        <w:t>assumption that only ante- and anti-</w:t>
      </w:r>
      <w:r w:rsidR="00854522">
        <w:t>Nicene theologies were inspired by Platonism</w:t>
      </w:r>
      <w:r w:rsidR="00BB2ADB">
        <w:t xml:space="preserve">, or at least that </w:t>
      </w:r>
      <w:r w:rsidR="00BB2ADB">
        <w:rPr>
          <w:i/>
        </w:rPr>
        <w:t>especially</w:t>
      </w:r>
      <w:r w:rsidR="00BB2ADB">
        <w:t xml:space="preserve"> those theologies were </w:t>
      </w:r>
      <w:r w:rsidR="00BF2299">
        <w:t>so inspired. This is the Arianism-as-</w:t>
      </w:r>
      <w:r w:rsidR="00854522">
        <w:t>Pl</w:t>
      </w:r>
      <w:r>
        <w:t>atonism trope; with it, we can mention the</w:t>
      </w:r>
      <w:r w:rsidR="00854522">
        <w:t xml:space="preserve"> conco</w:t>
      </w:r>
      <w:r>
        <w:t>mitant idea that anti-</w:t>
      </w:r>
      <w:r w:rsidR="00854522">
        <w:t>Ari</w:t>
      </w:r>
      <w:r>
        <w:t>anism was necessarily also anti-</w:t>
      </w:r>
      <w:r w:rsidR="00854522">
        <w:t xml:space="preserve">Platonism. </w:t>
      </w:r>
      <w:r w:rsidR="00F10642">
        <w:t xml:space="preserve">Witness this example </w:t>
      </w:r>
      <w:r w:rsidR="00903D83">
        <w:t xml:space="preserve">from Hans </w:t>
      </w:r>
      <w:proofErr w:type="spellStart"/>
      <w:r w:rsidR="00903D83">
        <w:t>Urs</w:t>
      </w:r>
      <w:proofErr w:type="spellEnd"/>
      <w:r w:rsidR="00903D83">
        <w:t xml:space="preserve"> von Balthasar’s influential monograph on Gregory of Nyssa: </w:t>
      </w:r>
    </w:p>
    <w:p w:rsidR="002409D5" w:rsidRDefault="00903D83" w:rsidP="00903D83">
      <w:pPr>
        <w:spacing w:line="480" w:lineRule="auto"/>
        <w:ind w:left="1440"/>
      </w:pPr>
      <w:r>
        <w:t>What distinguishes Gregory at once from Philo and Plotinus is the radical opposition between the triune God and the creature, an opposition that is not mitigated by any kind of intermediary zone. In Origen’s Trinity, the Son and the Spirit, even though they were formally affirmed as being God, served as ontological mediators between the Father and the world. After Arius, something like this is no longer conceivable.</w:t>
      </w:r>
      <w:r>
        <w:rPr>
          <w:rStyle w:val="FootnoteReference"/>
        </w:rPr>
        <w:footnoteReference w:id="23"/>
      </w:r>
    </w:p>
    <w:p w:rsidR="00151291" w:rsidRPr="00903D83" w:rsidRDefault="00903D83" w:rsidP="00634304">
      <w:pPr>
        <w:spacing w:line="480" w:lineRule="auto"/>
      </w:pPr>
      <w:r>
        <w:t>If Balthasar’s intent is merely to observe a difference between, on the one hand, Philo, Origen, Plotinus, and Arius and, on the other hand, Gregory, then the claim could in principle be assessed by a look at the relevant evidence. However,</w:t>
      </w:r>
      <w:r w:rsidR="0057216B">
        <w:t xml:space="preserve"> </w:t>
      </w:r>
      <w:r>
        <w:t xml:space="preserve">Balthasar seems to have something bigger </w:t>
      </w:r>
      <w:r w:rsidR="000F6E2C">
        <w:t xml:space="preserve">and more nebulous </w:t>
      </w:r>
      <w:r>
        <w:t xml:space="preserve">in mind, namely, that Gregory’s </w:t>
      </w:r>
      <w:r>
        <w:rPr>
          <w:i/>
        </w:rPr>
        <w:t>purpose</w:t>
      </w:r>
      <w:r>
        <w:t xml:space="preserve"> when writing against </w:t>
      </w:r>
      <w:proofErr w:type="spellStart"/>
      <w:r>
        <w:t>Eunomius</w:t>
      </w:r>
      <w:proofErr w:type="spellEnd"/>
      <w:r>
        <w:t xml:space="preserve"> was not principally to refute </w:t>
      </w:r>
      <w:proofErr w:type="spellStart"/>
      <w:r>
        <w:t>Eunomius</w:t>
      </w:r>
      <w:proofErr w:type="spellEnd"/>
      <w:r>
        <w:t xml:space="preserve"> but rather to rebut Origen and Plotinus by proxy</w:t>
      </w:r>
      <w:r w:rsidR="000F6E2C">
        <w:t>, despite the lack of references to Origen and Plotinus in the work</w:t>
      </w:r>
      <w:r w:rsidR="0001143C">
        <w:t>.</w:t>
      </w:r>
      <w:r w:rsidR="0057216B">
        <w:rPr>
          <w:rStyle w:val="FootnoteReference"/>
        </w:rPr>
        <w:footnoteReference w:id="24"/>
      </w:r>
      <w:r w:rsidR="0001143C">
        <w:t xml:space="preserve"> </w:t>
      </w:r>
      <w:r>
        <w:t xml:space="preserve">Balthasar </w:t>
      </w:r>
      <w:r w:rsidR="00BF2299">
        <w:t>treats</w:t>
      </w:r>
      <w:r>
        <w:t xml:space="preserve"> Gregory’s text as if it were </w:t>
      </w:r>
      <w:r w:rsidR="00BF2299">
        <w:t xml:space="preserve">principally </w:t>
      </w:r>
      <w:r>
        <w:t xml:space="preserve">a rebuke of Platonism. </w:t>
      </w:r>
      <w:r w:rsidR="0057216B">
        <w:t xml:space="preserve">In a </w:t>
      </w:r>
      <w:r>
        <w:t xml:space="preserve">footnote </w:t>
      </w:r>
      <w:r w:rsidR="0057216B">
        <w:t>Balthasar characterizes th</w:t>
      </w:r>
      <w:r>
        <w:t xml:space="preserve">e theme of </w:t>
      </w:r>
      <w:r>
        <w:rPr>
          <w:i/>
        </w:rPr>
        <w:t xml:space="preserve">Contra </w:t>
      </w:r>
      <w:proofErr w:type="spellStart"/>
      <w:r>
        <w:rPr>
          <w:i/>
        </w:rPr>
        <w:lastRenderedPageBreak/>
        <w:t>Eunomium</w:t>
      </w:r>
      <w:proofErr w:type="spellEnd"/>
      <w:r w:rsidR="0057216B">
        <w:t xml:space="preserve"> as</w:t>
      </w:r>
      <w:r>
        <w:t xml:space="preserve"> the “victory of Christian thought over Greek thought” rather than intra-Christian controversy.</w:t>
      </w:r>
      <w:r>
        <w:rPr>
          <w:rStyle w:val="FootnoteReference"/>
        </w:rPr>
        <w:footnoteReference w:id="25"/>
      </w:r>
    </w:p>
    <w:p w:rsidR="00ED1224" w:rsidRDefault="00903D83" w:rsidP="00634304">
      <w:pPr>
        <w:spacing w:line="480" w:lineRule="auto"/>
      </w:pPr>
      <w:r>
        <w:tab/>
      </w:r>
      <w:r w:rsidR="0001143C">
        <w:t xml:space="preserve">Of course, Balthasar did not invent </w:t>
      </w:r>
      <w:r w:rsidR="00BF2299">
        <w:t>the assumptions he brought to h</w:t>
      </w:r>
      <w:r w:rsidR="0001143C">
        <w:t xml:space="preserve">is reading. The conflation of Origen, Arius, and </w:t>
      </w:r>
      <w:proofErr w:type="spellStart"/>
      <w:r w:rsidR="0001143C">
        <w:t>Eunomius</w:t>
      </w:r>
      <w:proofErr w:type="spellEnd"/>
      <w:r w:rsidR="0001143C">
        <w:t xml:space="preserve"> on one hand with Plotinus and the </w:t>
      </w:r>
      <w:proofErr w:type="spellStart"/>
      <w:r w:rsidR="0001143C">
        <w:t>Neoplatonists</w:t>
      </w:r>
      <w:proofErr w:type="spellEnd"/>
      <w:r w:rsidR="0001143C">
        <w:t xml:space="preserve"> on the other had become by his time an ecumenical commonplace. </w:t>
      </w:r>
      <w:r w:rsidR="000F6E2C">
        <w:t xml:space="preserve">In his </w:t>
      </w:r>
      <w:r w:rsidR="000F6E2C">
        <w:rPr>
          <w:i/>
        </w:rPr>
        <w:t xml:space="preserve">Commentary on Boethius’ </w:t>
      </w:r>
      <w:r w:rsidR="000F6E2C">
        <w:rPr>
          <w:i/>
          <w:u w:val="single"/>
        </w:rPr>
        <w:t xml:space="preserve">De </w:t>
      </w:r>
      <w:proofErr w:type="spellStart"/>
      <w:r w:rsidR="000F6E2C">
        <w:rPr>
          <w:i/>
          <w:u w:val="single"/>
        </w:rPr>
        <w:t>Trinitate</w:t>
      </w:r>
      <w:proofErr w:type="spellEnd"/>
      <w:r w:rsidR="000F6E2C">
        <w:t xml:space="preserve">, </w:t>
      </w:r>
      <w:r w:rsidR="006B61AC">
        <w:t>Thomas Aquinas arg</w:t>
      </w:r>
      <w:r w:rsidR="000F6E2C">
        <w:t>ues</w:t>
      </w:r>
      <w:r w:rsidR="006B61AC">
        <w:t xml:space="preserve"> that Arianism </w:t>
      </w:r>
      <w:r w:rsidR="00286A13">
        <w:t>was influenced, through the mediation of Origen, by</w:t>
      </w:r>
      <w:r w:rsidR="006B61AC">
        <w:t xml:space="preserve"> Platonism’s three hypostases</w:t>
      </w:r>
      <w:r w:rsidR="0062324C">
        <w:t xml:space="preserve">. To justify the narrative, Aquinas combines the account of the Neoplatonist hypostases in </w:t>
      </w:r>
      <w:r w:rsidR="006B61AC">
        <w:rPr>
          <w:i/>
        </w:rPr>
        <w:t>City of God</w:t>
      </w:r>
      <w:r w:rsidR="006B61AC">
        <w:t xml:space="preserve"> X and </w:t>
      </w:r>
      <w:proofErr w:type="spellStart"/>
      <w:r w:rsidR="006B61AC">
        <w:t>Macrobius</w:t>
      </w:r>
      <w:proofErr w:type="spellEnd"/>
      <w:r w:rsidR="0062324C">
        <w:t xml:space="preserve"> with </w:t>
      </w:r>
      <w:proofErr w:type="spellStart"/>
      <w:r w:rsidR="0062324C">
        <w:t>Epiphanius’s</w:t>
      </w:r>
      <w:proofErr w:type="spellEnd"/>
      <w:r w:rsidR="0062324C">
        <w:t xml:space="preserve"> argument that Origen was Arius’ inspiration</w:t>
      </w:r>
      <w:r w:rsidR="006B61AC">
        <w:t>.</w:t>
      </w:r>
      <w:r w:rsidR="006B61AC">
        <w:rPr>
          <w:rStyle w:val="FootnoteReference"/>
        </w:rPr>
        <w:footnoteReference w:id="26"/>
      </w:r>
      <w:r w:rsidR="006B61AC">
        <w:t xml:space="preserve"> </w:t>
      </w:r>
      <w:r w:rsidR="00BF0ECB">
        <w:t>Variou</w:t>
      </w:r>
      <w:r w:rsidR="00BC28DC">
        <w:t>s</w:t>
      </w:r>
      <w:r w:rsidR="00BF0ECB">
        <w:t xml:space="preserve"> theologians</w:t>
      </w:r>
      <w:r w:rsidR="000F6E2C">
        <w:t>, both well-known and forgotten,</w:t>
      </w:r>
      <w:r w:rsidR="006B61AC">
        <w:t xml:space="preserve"> </w:t>
      </w:r>
      <w:r w:rsidR="00BC28DC">
        <w:t xml:space="preserve">have </w:t>
      </w:r>
      <w:r w:rsidR="006B61AC">
        <w:t>followed suit.</w:t>
      </w:r>
      <w:r w:rsidR="00BF0ECB">
        <w:rPr>
          <w:rStyle w:val="FootnoteReference"/>
        </w:rPr>
        <w:footnoteReference w:id="27"/>
      </w:r>
      <w:r w:rsidR="006B61AC">
        <w:t xml:space="preserve"> I</w:t>
      </w:r>
      <w:r w:rsidR="0001143C">
        <w:t xml:space="preserve">n 1827, the </w:t>
      </w:r>
      <w:proofErr w:type="spellStart"/>
      <w:r w:rsidR="0001143C">
        <w:t>Pietist</w:t>
      </w:r>
      <w:proofErr w:type="spellEnd"/>
      <w:r w:rsidR="0001143C">
        <w:t xml:space="preserve"> theologian Georg Ch</w:t>
      </w:r>
      <w:r w:rsidR="000F6E2C">
        <w:t>ristian Knapp, in an influential</w:t>
      </w:r>
      <w:r w:rsidR="0001143C">
        <w:t xml:space="preserve"> set of lectures, stated the equivalence</w:t>
      </w:r>
      <w:r w:rsidR="00BC28DC">
        <w:t xml:space="preserve"> unequivocally</w:t>
      </w:r>
      <w:r w:rsidR="0001143C">
        <w:t xml:space="preserve">: “the belief in the subordination of the Son to the Father for which Arianism is the later name, flowing as it did directly from Platonic principles, was commonly accepted by most of these fathers [namely, </w:t>
      </w:r>
      <w:proofErr w:type="spellStart"/>
      <w:r w:rsidR="0001143C">
        <w:t>Theophilus</w:t>
      </w:r>
      <w:proofErr w:type="spellEnd"/>
      <w:r w:rsidR="0001143C">
        <w:t>, Clement, and Origen] of the second and third centuries.”</w:t>
      </w:r>
      <w:r w:rsidR="0001143C">
        <w:rPr>
          <w:rStyle w:val="FootnoteReference"/>
        </w:rPr>
        <w:footnoteReference w:id="28"/>
      </w:r>
      <w:r w:rsidR="00BC28DC">
        <w:t xml:space="preserve"> Thus, “</w:t>
      </w:r>
      <w:proofErr w:type="spellStart"/>
      <w:r w:rsidR="00BC28DC">
        <w:t>subordinationism</w:t>
      </w:r>
      <w:proofErr w:type="spellEnd"/>
      <w:r w:rsidR="00BC28DC">
        <w:t>”—</w:t>
      </w:r>
      <w:r w:rsidR="0001143C">
        <w:t>incidentally, it was perhaps from Leonard Woods’ translation of Knapp’s lectures that this term entered the English language</w:t>
      </w:r>
      <w:r w:rsidR="0001143C">
        <w:rPr>
          <w:rStyle w:val="FootnoteReference"/>
        </w:rPr>
        <w:footnoteReference w:id="29"/>
      </w:r>
      <w:r w:rsidR="0001143C">
        <w:t>—</w:t>
      </w:r>
      <w:r w:rsidR="0001143C">
        <w:lastRenderedPageBreak/>
        <w:t xml:space="preserve">and “Arianism” are treated as interchangeable labels for a doctrine that is fundamentally Platonist in its roots. The rejection of such Platonism, a rejection which Knapp regarded as providential, was the </w:t>
      </w:r>
      <w:r w:rsidR="0089257D">
        <w:t>accomplishment</w:t>
      </w:r>
      <w:r w:rsidR="0001143C">
        <w:t xml:space="preserve"> of the Nicene fathers. </w:t>
      </w:r>
    </w:p>
    <w:p w:rsidR="00ED1224" w:rsidRDefault="00ED1224" w:rsidP="00ED1224">
      <w:pPr>
        <w:spacing w:line="480" w:lineRule="auto"/>
        <w:ind w:firstLine="720"/>
      </w:pPr>
      <w:r>
        <w:t xml:space="preserve">One can understand why the Trinity’s modern defenders would have been motivated to embrace this construal of </w:t>
      </w:r>
      <w:r w:rsidR="00D27A6E">
        <w:t>orthodoxy</w:t>
      </w:r>
      <w:r>
        <w:t xml:space="preserve"> as surpassing Platonism. Scores of anti-Trinitarians, beginning with Michael Servetus in the sixteenth century, had presented the traditional doctrine as damning evidence of a Platonized, and thus corrupted, version of Christianity.</w:t>
      </w:r>
      <w:r>
        <w:rPr>
          <w:rStyle w:val="FootnoteReference"/>
        </w:rPr>
        <w:footnoteReference w:id="30"/>
      </w:r>
      <w:r>
        <w:t xml:space="preserve"> Perhaps the most famous version of the story was told by the liberal Protestant historian Adolf von </w:t>
      </w:r>
      <w:proofErr w:type="spellStart"/>
      <w:r>
        <w:t>Harnack</w:t>
      </w:r>
      <w:proofErr w:type="spellEnd"/>
      <w:r>
        <w:t xml:space="preserve"> under the influence of Albrecht </w:t>
      </w:r>
      <w:proofErr w:type="spellStart"/>
      <w:r>
        <w:t>Ritschl’s</w:t>
      </w:r>
      <w:proofErr w:type="spellEnd"/>
      <w:r>
        <w:t xml:space="preserve"> theology.</w:t>
      </w:r>
      <w:r>
        <w:rPr>
          <w:rStyle w:val="FootnoteReference"/>
        </w:rPr>
        <w:footnoteReference w:id="31"/>
      </w:r>
      <w:r>
        <w:t xml:space="preserve"> According to </w:t>
      </w:r>
      <w:proofErr w:type="spellStart"/>
      <w:r>
        <w:t>Harnack</w:t>
      </w:r>
      <w:proofErr w:type="spellEnd"/>
      <w:r>
        <w:t xml:space="preserve">, Arius subscribed to Platonic cosmology mixed with Aristotelian rationalism. In opposition, Athanasius emphasized redemption rather than cosmology, thus marking himself as authentically, though imperfectly Christian—imperfect, on </w:t>
      </w:r>
      <w:proofErr w:type="spellStart"/>
      <w:r>
        <w:t>Harnack’s</w:t>
      </w:r>
      <w:proofErr w:type="spellEnd"/>
      <w:r>
        <w:t xml:space="preserve"> reading, because of his inattention to the historical Jesus. However, for </w:t>
      </w:r>
      <w:proofErr w:type="spellStart"/>
      <w:r>
        <w:t>Harnack</w:t>
      </w:r>
      <w:proofErr w:type="spellEnd"/>
      <w:r>
        <w:t xml:space="preserve">, later in the fourth century we see the revival of Aristotelian rationalism and Platonist cosmology, but now split between two parties: the </w:t>
      </w:r>
      <w:proofErr w:type="spellStart"/>
      <w:r>
        <w:t>Eunomian</w:t>
      </w:r>
      <w:proofErr w:type="spellEnd"/>
      <w:r>
        <w:t xml:space="preserve"> rationalists on o</w:t>
      </w:r>
      <w:r w:rsidR="00FB719B">
        <w:t xml:space="preserve">ne side and the Cappadocian </w:t>
      </w:r>
      <w:proofErr w:type="spellStart"/>
      <w:r w:rsidR="00FB719B">
        <w:t>Neop</w:t>
      </w:r>
      <w:r>
        <w:t>latonists</w:t>
      </w:r>
      <w:proofErr w:type="spellEnd"/>
      <w:r>
        <w:t xml:space="preserve"> on the other. Hence the victory engineered by Athanasius of authentic Christianity over Platonist cosmological speculation was a pyrrhic one.</w:t>
      </w:r>
      <w:r>
        <w:rPr>
          <w:rStyle w:val="FootnoteReference"/>
        </w:rPr>
        <w:footnoteReference w:id="32"/>
      </w:r>
      <w:r>
        <w:t xml:space="preserve"> According to </w:t>
      </w:r>
      <w:proofErr w:type="spellStart"/>
      <w:r>
        <w:t>Harnack</w:t>
      </w:r>
      <w:proofErr w:type="spellEnd"/>
      <w:r>
        <w:t xml:space="preserve">, the </w:t>
      </w:r>
      <w:proofErr w:type="spellStart"/>
      <w:r>
        <w:t>Cappadocians</w:t>
      </w:r>
      <w:proofErr w:type="spellEnd"/>
      <w:r>
        <w:t xml:space="preserve"> re-enshrined the Platonism originally defeated at Nicaea. It was this sort of critical narrative that modern supporters of traditional doctrine—the </w:t>
      </w:r>
      <w:r>
        <w:lastRenderedPageBreak/>
        <w:t xml:space="preserve">doctrine of the </w:t>
      </w:r>
      <w:proofErr w:type="spellStart"/>
      <w:r>
        <w:t>Cappadocians</w:t>
      </w:r>
      <w:proofErr w:type="spellEnd"/>
      <w:r>
        <w:t xml:space="preserve"> and Augustine—sought to overturn. The apologetic </w:t>
      </w:r>
      <w:r w:rsidR="00D27A6E">
        <w:t>counter-</w:t>
      </w:r>
      <w:r>
        <w:t xml:space="preserve">narrative of </w:t>
      </w:r>
      <w:r w:rsidR="00D27A6E">
        <w:t>orthodoxy</w:t>
      </w:r>
      <w:r>
        <w:t xml:space="preserve"> as breaking with Platonism enabled modern orthodox Protestant and Catholic theologians to place </w:t>
      </w:r>
      <w:r w:rsidR="0089257D">
        <w:t>Platonist metaphysical and</w:t>
      </w:r>
      <w:r>
        <w:t xml:space="preserve"> cosmological speculation squarely in the church’s </w:t>
      </w:r>
      <w:r>
        <w:rPr>
          <w:i/>
        </w:rPr>
        <w:t>past</w:t>
      </w:r>
      <w:r>
        <w:t xml:space="preserve">, as part of a youthful, unconsummated flirtation of the church with Greek thought. According to the </w:t>
      </w:r>
      <w:r w:rsidR="00D27A6E">
        <w:t>counter-</w:t>
      </w:r>
      <w:r>
        <w:t>narrative, when fourth-century pro-</w:t>
      </w:r>
      <w:proofErr w:type="spellStart"/>
      <w:r>
        <w:t>Nicenes</w:t>
      </w:r>
      <w:proofErr w:type="spellEnd"/>
      <w:r>
        <w:t xml:space="preserve"> denied that the Son and Spirit were created and thus part of the cosmos, they definitively severed Trinitarian theology from </w:t>
      </w:r>
      <w:r w:rsidR="000F6E2C">
        <w:t xml:space="preserve">Platonist </w:t>
      </w:r>
      <w:r>
        <w:t>cosmology.</w:t>
      </w:r>
      <w:r>
        <w:rPr>
          <w:rStyle w:val="FootnoteReference"/>
        </w:rPr>
        <w:footnoteReference w:id="33"/>
      </w:r>
      <w:r>
        <w:t xml:space="preserve"> </w:t>
      </w:r>
    </w:p>
    <w:p w:rsidR="00300862" w:rsidRDefault="00D27A6E" w:rsidP="00300862">
      <w:pPr>
        <w:spacing w:line="480" w:lineRule="auto"/>
        <w:ind w:firstLine="720"/>
      </w:pPr>
      <w:r>
        <w:t>The Arianism-as-</w:t>
      </w:r>
      <w:r w:rsidR="0001143C">
        <w:t xml:space="preserve">Platonism trope appears throughout the twentieth century in influential books on the history of doctrine. J. N. D. Kelly, for instance, writes that “. . . the impact of Platonism reveals itself in the thoroughgoing </w:t>
      </w:r>
      <w:proofErr w:type="spellStart"/>
      <w:r w:rsidR="0001143C">
        <w:t>subordinationism</w:t>
      </w:r>
      <w:proofErr w:type="spellEnd"/>
      <w:r w:rsidR="0001143C">
        <w:t xml:space="preserve"> which is integral to Origen’s Trinitarian scheme.”</w:t>
      </w:r>
      <w:r w:rsidR="0001143C">
        <w:rPr>
          <w:rStyle w:val="FootnoteReference"/>
        </w:rPr>
        <w:footnoteReference w:id="34"/>
      </w:r>
      <w:r w:rsidR="0001143C">
        <w:t xml:space="preserve"> Likewise, Kelly</w:t>
      </w:r>
      <w:r w:rsidR="0001143C" w:rsidRPr="00807A46">
        <w:t xml:space="preserve"> </w:t>
      </w:r>
      <w:r w:rsidR="0001143C">
        <w:t xml:space="preserve">portrays Aetius and </w:t>
      </w:r>
      <w:proofErr w:type="spellStart"/>
      <w:r w:rsidR="0001143C">
        <w:t>Eunomius</w:t>
      </w:r>
      <w:proofErr w:type="spellEnd"/>
      <w:r w:rsidR="0001143C">
        <w:t xml:space="preserve"> as “presenting a restatement of fundamental Christian dogma in terms of a Neo-Platonic metaphysic of three hierarchically ordered, mutually exclusive </w:t>
      </w:r>
      <w:r w:rsidR="0001143C">
        <w:rPr>
          <w:lang w:val="el-GR"/>
        </w:rPr>
        <w:t>οὐσίαι</w:t>
      </w:r>
      <w:r w:rsidR="0001143C">
        <w:t>.”</w:t>
      </w:r>
      <w:r w:rsidR="0001143C">
        <w:rPr>
          <w:rStyle w:val="FootnoteReference"/>
        </w:rPr>
        <w:footnoteReference w:id="35"/>
      </w:r>
      <w:r w:rsidR="009C02F0">
        <w:t xml:space="preserve"> </w:t>
      </w:r>
      <w:r w:rsidR="00300862">
        <w:t xml:space="preserve">More recently, </w:t>
      </w:r>
      <w:r w:rsidR="009C02F0">
        <w:t xml:space="preserve">David Bentley Hart </w:t>
      </w:r>
      <w:r w:rsidR="00300862">
        <w:t xml:space="preserve">identifies an Alexandrian tendency to </w:t>
      </w:r>
      <w:proofErr w:type="spellStart"/>
      <w:r w:rsidR="00300862">
        <w:t>subordinationism</w:t>
      </w:r>
      <w:proofErr w:type="spellEnd"/>
      <w:r w:rsidR="00300862">
        <w:t xml:space="preserve"> that was common among </w:t>
      </w:r>
      <w:r w:rsidR="00F04411">
        <w:t>Platonists and Jews like Philo, as well as ante-Nicene and Arian</w:t>
      </w:r>
      <w:r w:rsidR="00300862">
        <w:t xml:space="preserve"> Christians.</w:t>
      </w:r>
      <w:r w:rsidR="00300862">
        <w:rPr>
          <w:rStyle w:val="FootnoteReference"/>
        </w:rPr>
        <w:footnoteReference w:id="36"/>
      </w:r>
      <w:r w:rsidR="00300862">
        <w:t xml:space="preserve"> He elegantly contrasts the God of Nicaea and Constantinople with that system: “He was not the Most High God of Arius, immune to all contact with the finite, for the Logos in which he revealed himself as creator and redeemer </w:t>
      </w:r>
      <w:r w:rsidR="00300862">
        <w:lastRenderedPageBreak/>
        <w:t>was his own, interior Logos, his own perfect image, his own self-knowledge and disclosure; nor certainly was his anything like the paradoxical transcendence of the One of Plotinus, ‘revealed’ only as a kind of infinite contrariety.”</w:t>
      </w:r>
      <w:r w:rsidR="00300862">
        <w:rPr>
          <w:rStyle w:val="FootnoteReference"/>
        </w:rPr>
        <w:footnoteReference w:id="37"/>
      </w:r>
      <w:r w:rsidR="009C02F0">
        <w:t xml:space="preserve"> </w:t>
      </w:r>
    </w:p>
    <w:p w:rsidR="00FD272C" w:rsidRPr="00EE05D3" w:rsidRDefault="00FC1B1E" w:rsidP="00300862">
      <w:pPr>
        <w:spacing w:line="480" w:lineRule="auto"/>
        <w:ind w:firstLine="720"/>
      </w:pPr>
      <w:r>
        <w:t xml:space="preserve">It would be </w:t>
      </w:r>
      <w:r w:rsidR="0089257D">
        <w:t xml:space="preserve">foolish to dismiss this </w:t>
      </w:r>
      <w:r w:rsidR="00300862">
        <w:t xml:space="preserve">sort of </w:t>
      </w:r>
      <w:r>
        <w:t xml:space="preserve">reading out of hand. </w:t>
      </w:r>
      <w:r w:rsidR="00300862">
        <w:t>N</w:t>
      </w:r>
      <w:r>
        <w:t xml:space="preserve">either </w:t>
      </w:r>
      <w:proofErr w:type="spellStart"/>
      <w:r w:rsidR="00300862">
        <w:t>Eunomius</w:t>
      </w:r>
      <w:proofErr w:type="spellEnd"/>
      <w:r w:rsidR="00300862">
        <w:t xml:space="preserve"> </w:t>
      </w:r>
      <w:r>
        <w:t xml:space="preserve">nor Plotinus could countenance the idea that </w:t>
      </w:r>
      <w:r w:rsidR="00300862">
        <w:t>the divine hypostases</w:t>
      </w:r>
      <w:r>
        <w:t xml:space="preserve"> are entirely coordinate. </w:t>
      </w:r>
      <w:r w:rsidR="000F6E2C">
        <w:t xml:space="preserve">However, the connection between </w:t>
      </w:r>
      <w:proofErr w:type="spellStart"/>
      <w:r w:rsidR="000F6E2C">
        <w:t>Eunomian</w:t>
      </w:r>
      <w:proofErr w:type="spellEnd"/>
      <w:r w:rsidR="000F6E2C">
        <w:t xml:space="preserve"> and Platonist “</w:t>
      </w:r>
      <w:proofErr w:type="spellStart"/>
      <w:r w:rsidR="000F6E2C">
        <w:t>subordinationism</w:t>
      </w:r>
      <w:proofErr w:type="spellEnd"/>
      <w:r w:rsidR="000F6E2C">
        <w:t xml:space="preserve">” is rarely, if ever, made in the late ancient sources, and where it is, the point is different from the </w:t>
      </w:r>
      <w:r w:rsidR="00191DD8">
        <w:t>Arianism-as-Platonism</w:t>
      </w:r>
      <w:r w:rsidR="000F6E2C">
        <w:t xml:space="preserve"> narrative we have encountered thus far. For instance, </w:t>
      </w:r>
      <w:r w:rsidR="00191DD8">
        <w:t>in</w:t>
      </w:r>
      <w:r w:rsidR="002A5715">
        <w:t xml:space="preserve"> one passage </w:t>
      </w:r>
      <w:r w:rsidR="000F6E2C">
        <w:t xml:space="preserve">from </w:t>
      </w:r>
      <w:r w:rsidR="000F6E2C">
        <w:rPr>
          <w:i/>
        </w:rPr>
        <w:t xml:space="preserve">Against </w:t>
      </w:r>
      <w:proofErr w:type="spellStart"/>
      <w:r w:rsidR="000F6E2C">
        <w:rPr>
          <w:i/>
        </w:rPr>
        <w:t>Eunomius</w:t>
      </w:r>
      <w:proofErr w:type="spellEnd"/>
      <w:r w:rsidR="00191DD8">
        <w:t xml:space="preserve">, Gregory of Nyssa </w:t>
      </w:r>
      <w:r w:rsidR="002A5715">
        <w:t>notes that “some of [the Greeks] think that there is a great God supreme above the others and they confess certain inferior powers differing from one another as greater and lesser by some ordering and sequence but all equally subject to the superior one.”</w:t>
      </w:r>
      <w:r w:rsidR="002A5715">
        <w:rPr>
          <w:rStyle w:val="FootnoteReference"/>
        </w:rPr>
        <w:footnoteReference w:id="38"/>
      </w:r>
      <w:r w:rsidR="002A5715">
        <w:t xml:space="preserve"> </w:t>
      </w:r>
      <w:r w:rsidR="000F6E2C">
        <w:t xml:space="preserve">A parallel passage </w:t>
      </w:r>
      <w:r w:rsidR="00191DD8">
        <w:t xml:space="preserve">in Gregory’s </w:t>
      </w:r>
      <w:r w:rsidR="00191DD8">
        <w:rPr>
          <w:i/>
        </w:rPr>
        <w:t xml:space="preserve">Refutation of </w:t>
      </w:r>
      <w:proofErr w:type="spellStart"/>
      <w:r w:rsidR="00191DD8">
        <w:rPr>
          <w:i/>
        </w:rPr>
        <w:t>Eunomius’s</w:t>
      </w:r>
      <w:proofErr w:type="spellEnd"/>
      <w:r w:rsidR="00191DD8">
        <w:rPr>
          <w:i/>
        </w:rPr>
        <w:t xml:space="preserve"> </w:t>
      </w:r>
      <w:r w:rsidR="00191DD8">
        <w:rPr>
          <w:i/>
          <w:u w:val="single"/>
        </w:rPr>
        <w:t>Confession</w:t>
      </w:r>
      <w:r w:rsidR="00191DD8">
        <w:t xml:space="preserve"> </w:t>
      </w:r>
      <w:r w:rsidR="000F6E2C">
        <w:t>reveals that</w:t>
      </w:r>
      <w:r w:rsidR="00776C50">
        <w:t xml:space="preserve"> Gregory’s point is slightly different than one might expect.</w:t>
      </w:r>
      <w:r w:rsidR="000F6E2C">
        <w:t xml:space="preserve"> In the </w:t>
      </w:r>
      <w:r w:rsidR="00191DD8">
        <w:rPr>
          <w:i/>
        </w:rPr>
        <w:t>Refutation</w:t>
      </w:r>
      <w:r w:rsidR="000F6E2C">
        <w:t xml:space="preserve">, Gregory accuses </w:t>
      </w:r>
      <w:proofErr w:type="spellStart"/>
      <w:r w:rsidR="000F6E2C">
        <w:t>Eunomius</w:t>
      </w:r>
      <w:proofErr w:type="spellEnd"/>
      <w:r w:rsidR="000F6E2C">
        <w:t xml:space="preserve"> of following either Judaism or Plato’s </w:t>
      </w:r>
      <w:proofErr w:type="spellStart"/>
      <w:r w:rsidR="000F6E2C">
        <w:rPr>
          <w:i/>
        </w:rPr>
        <w:t>Timaeus</w:t>
      </w:r>
      <w:proofErr w:type="spellEnd"/>
      <w:r w:rsidR="000F6E2C">
        <w:rPr>
          <w:i/>
        </w:rPr>
        <w:t xml:space="preserve"> </w:t>
      </w:r>
      <w:r w:rsidR="000F6E2C">
        <w:t>in his understanding of the biblical title “Father.”</w:t>
      </w:r>
      <w:r w:rsidR="00776C50" w:rsidRPr="00776C50">
        <w:rPr>
          <w:rStyle w:val="FootnoteReference"/>
        </w:rPr>
        <w:t xml:space="preserve"> </w:t>
      </w:r>
      <w:r w:rsidR="00776C50">
        <w:rPr>
          <w:rStyle w:val="FootnoteReference"/>
        </w:rPr>
        <w:footnoteReference w:id="39"/>
      </w:r>
      <w:r w:rsidR="000F6E2C">
        <w:t xml:space="preserve"> To be sure, this parallel confirms</w:t>
      </w:r>
      <w:r w:rsidR="00776C50">
        <w:t xml:space="preserve"> that </w:t>
      </w:r>
      <w:r w:rsidR="000F6E2C">
        <w:t>“</w:t>
      </w:r>
      <w:r w:rsidR="00776C50">
        <w:t>the Greeks</w:t>
      </w:r>
      <w:r w:rsidR="000F6E2C">
        <w:t>” whom</w:t>
      </w:r>
      <w:r w:rsidR="00191DD8">
        <w:t xml:space="preserve"> Gregory has in mind in </w:t>
      </w:r>
      <w:r w:rsidR="00191DD8">
        <w:rPr>
          <w:i/>
        </w:rPr>
        <w:t xml:space="preserve">Against </w:t>
      </w:r>
      <w:proofErr w:type="spellStart"/>
      <w:r w:rsidR="00191DD8">
        <w:rPr>
          <w:i/>
        </w:rPr>
        <w:t>Eunomius</w:t>
      </w:r>
      <w:proofErr w:type="spellEnd"/>
      <w:r w:rsidR="00776C50">
        <w:t xml:space="preserve"> are indeed Plato and his school</w:t>
      </w:r>
      <w:r w:rsidR="00191DD8">
        <w:t>. Thus Gregory</w:t>
      </w:r>
      <w:r w:rsidR="00EE05D3">
        <w:t xml:space="preserve"> was capable on at least one occasion of accusing </w:t>
      </w:r>
      <w:proofErr w:type="spellStart"/>
      <w:r w:rsidR="00EE05D3">
        <w:t>Eunomius</w:t>
      </w:r>
      <w:proofErr w:type="spellEnd"/>
      <w:r w:rsidR="00EE05D3">
        <w:t xml:space="preserve"> of possibly following Plato</w:t>
      </w:r>
      <w:r w:rsidR="00191DD8">
        <w:t xml:space="preserve">. However, </w:t>
      </w:r>
      <w:r w:rsidR="00776C50">
        <w:t xml:space="preserve">the divinities in question are not the One, Nous, and Soul, but rather the Demiurge and the subordinate gods of </w:t>
      </w:r>
      <w:proofErr w:type="spellStart"/>
      <w:r w:rsidR="00776C50">
        <w:rPr>
          <w:i/>
        </w:rPr>
        <w:t>Timaeus</w:t>
      </w:r>
      <w:proofErr w:type="spellEnd"/>
      <w:r w:rsidR="00776C50">
        <w:rPr>
          <w:i/>
        </w:rPr>
        <w:t xml:space="preserve"> </w:t>
      </w:r>
      <w:r w:rsidR="00EE05D3">
        <w:t>39a–41d. Thus the equation between the Neoplatonist hypostases</w:t>
      </w:r>
      <w:r w:rsidR="00776C50">
        <w:t xml:space="preserve"> </w:t>
      </w:r>
      <w:r w:rsidR="000F6E2C">
        <w:t xml:space="preserve">and </w:t>
      </w:r>
      <w:r w:rsidR="00EE05D3">
        <w:t xml:space="preserve">the Arian or </w:t>
      </w:r>
      <w:proofErr w:type="spellStart"/>
      <w:r w:rsidR="00EE05D3">
        <w:t>Eunomian</w:t>
      </w:r>
      <w:proofErr w:type="spellEnd"/>
      <w:r w:rsidR="00EE05D3">
        <w:t xml:space="preserve"> Trinity is not one that Gregory ever draws. Gregory is more perceptive here than his modern defenders, since </w:t>
      </w:r>
      <w:proofErr w:type="spellStart"/>
      <w:r w:rsidR="00EE05D3">
        <w:lastRenderedPageBreak/>
        <w:t>Eunomius’s</w:t>
      </w:r>
      <w:proofErr w:type="spellEnd"/>
      <w:r w:rsidR="00EE05D3">
        <w:t xml:space="preserve"> theology, with its emphasis on </w:t>
      </w:r>
      <w:r w:rsidR="00386449">
        <w:t xml:space="preserve">the Father’s </w:t>
      </w:r>
      <w:r w:rsidR="00EE05D3">
        <w:t>command</w:t>
      </w:r>
      <w:r w:rsidR="00386449">
        <w:t>s</w:t>
      </w:r>
      <w:r w:rsidR="00EE05D3">
        <w:t xml:space="preserve"> and</w:t>
      </w:r>
      <w:r w:rsidR="00386449">
        <w:t xml:space="preserve"> the Son’s</w:t>
      </w:r>
      <w:r w:rsidR="00EE05D3">
        <w:t xml:space="preserve"> obedience, is much more akin to the relation of the Demiurge to his subordinates in the </w:t>
      </w:r>
      <w:proofErr w:type="spellStart"/>
      <w:r w:rsidR="00EE05D3">
        <w:rPr>
          <w:i/>
        </w:rPr>
        <w:t>Timaeus</w:t>
      </w:r>
      <w:proofErr w:type="spellEnd"/>
      <w:r w:rsidR="00EE05D3">
        <w:rPr>
          <w:i/>
        </w:rPr>
        <w:t xml:space="preserve"> </w:t>
      </w:r>
      <w:r w:rsidR="00EE05D3">
        <w:t xml:space="preserve">story than it is to the three principal hypostases of Neoplatonism. </w:t>
      </w:r>
    </w:p>
    <w:p w:rsidR="00FC1B1E" w:rsidRDefault="00FD272C" w:rsidP="00386449">
      <w:pPr>
        <w:spacing w:before="240" w:line="480" w:lineRule="auto"/>
      </w:pPr>
      <w:r>
        <w:tab/>
      </w:r>
      <w:r w:rsidR="00386449">
        <w:t>The familiar trope likewise is absent from</w:t>
      </w:r>
      <w:r w:rsidR="00EE05D3">
        <w:t xml:space="preserve"> Augustine. </w:t>
      </w:r>
      <w:r w:rsidR="00FC1B1E">
        <w:t xml:space="preserve">Neither in </w:t>
      </w:r>
      <w:r w:rsidR="00FC1B1E">
        <w:rPr>
          <w:i/>
        </w:rPr>
        <w:t xml:space="preserve">Confessions </w:t>
      </w:r>
      <w:r w:rsidR="00FC1B1E">
        <w:t xml:space="preserve">nor in </w:t>
      </w:r>
      <w:r w:rsidR="00FC1B1E">
        <w:rPr>
          <w:i/>
        </w:rPr>
        <w:t>City of God</w:t>
      </w:r>
      <w:r w:rsidR="00FC1B1E">
        <w:t xml:space="preserve"> does Augustine raise any concern about “</w:t>
      </w:r>
      <w:proofErr w:type="spellStart"/>
      <w:r w:rsidR="00FC1B1E">
        <w:t>subordinationism</w:t>
      </w:r>
      <w:proofErr w:type="spellEnd"/>
      <w:r w:rsidR="00FC1B1E">
        <w:t xml:space="preserve">” (under whatever name) in Platonism. The </w:t>
      </w:r>
      <w:r w:rsidR="00FC1B1E">
        <w:rPr>
          <w:i/>
        </w:rPr>
        <w:t>City of God</w:t>
      </w:r>
      <w:r w:rsidR="00FC1B1E">
        <w:t xml:space="preserve"> passage </w:t>
      </w:r>
      <w:r w:rsidR="000F6E2C">
        <w:t>cited above is more hostile to Platonism</w:t>
      </w:r>
      <w:r w:rsidR="00FC1B1E">
        <w:t xml:space="preserve"> than</w:t>
      </w:r>
      <w:r w:rsidR="000F6E2C">
        <w:t xml:space="preserve"> is</w:t>
      </w:r>
      <w:r w:rsidR="00FC1B1E">
        <w:t xml:space="preserve"> </w:t>
      </w:r>
      <w:r w:rsidR="00FC1B1E">
        <w:rPr>
          <w:i/>
        </w:rPr>
        <w:t xml:space="preserve">Confessions </w:t>
      </w:r>
      <w:r w:rsidR="000F6E2C">
        <w:t>VII, but the two objections</w:t>
      </w:r>
      <w:r w:rsidR="00FC1B1E">
        <w:t xml:space="preserve"> Augustine articulates there about Porphyry is not that his second principle was ranked</w:t>
      </w:r>
      <w:r w:rsidR="0089257D">
        <w:t xml:space="preserve"> below the first, but rather</w:t>
      </w:r>
      <w:r w:rsidR="00FC1B1E">
        <w:t xml:space="preserve"> that he spoke in the plural of principles capable of purifying humanity, rather than maintaining a si</w:t>
      </w:r>
      <w:r w:rsidR="000F6E2C">
        <w:t>ngle principle of purification</w:t>
      </w:r>
      <w:r w:rsidR="0089257D">
        <w:t>, and</w:t>
      </w:r>
      <w:r w:rsidR="00FC1B1E">
        <w:t xml:space="preserve"> that he denied the incarnation. Of course, these</w:t>
      </w:r>
      <w:r w:rsidR="000F6E2C">
        <w:t xml:space="preserve"> are major differences, but the objections have nothing to do with subordination, and they</w:t>
      </w:r>
      <w:r w:rsidR="00FC1B1E">
        <w:t xml:space="preserve"> </w:t>
      </w:r>
      <w:r w:rsidR="000F6E2C">
        <w:t xml:space="preserve">should not lead us to </w:t>
      </w:r>
      <w:r w:rsidR="00FC1B1E">
        <w:t>neglect Augustine’s almost seamless harmonization of Christian and Neoplatonic language in naming the first and second persons of the Trinity.</w:t>
      </w:r>
    </w:p>
    <w:p w:rsidR="004410F4" w:rsidRDefault="00FC1B1E" w:rsidP="00B47DCA">
      <w:pPr>
        <w:spacing w:before="240" w:line="480" w:lineRule="auto"/>
      </w:pPr>
      <w:r>
        <w:tab/>
        <w:t>The more interesting case is Cyril of Alexandria</w:t>
      </w:r>
      <w:r w:rsidR="000F6E2C">
        <w:t xml:space="preserve">, who does accuse the Plotinus and the </w:t>
      </w:r>
      <w:proofErr w:type="spellStart"/>
      <w:r w:rsidR="000F6E2C">
        <w:t>Neoplatonists</w:t>
      </w:r>
      <w:proofErr w:type="spellEnd"/>
      <w:r>
        <w:t xml:space="preserve"> of posit</w:t>
      </w:r>
      <w:r w:rsidR="000F6E2C">
        <w:t>ing a “dissimilarity of natures</w:t>
      </w:r>
      <w:r>
        <w:t>”</w:t>
      </w:r>
      <w:r w:rsidR="000F6E2C">
        <w:t xml:space="preserve"> among their three hypostases</w:t>
      </w:r>
      <w:r w:rsidR="00FB719B">
        <w:t xml:space="preserve"> and of denying their consubstantiality</w:t>
      </w:r>
      <w:r w:rsidR="000F6E2C">
        <w:t>.</w:t>
      </w:r>
      <w:r w:rsidR="00FB719B">
        <w:rPr>
          <w:rStyle w:val="FootnoteReference"/>
        </w:rPr>
        <w:footnoteReference w:id="40"/>
      </w:r>
      <w:r>
        <w:t xml:space="preserve"> This terminology is telling. For modern scholars, Platonism is the root of </w:t>
      </w:r>
      <w:r w:rsidR="0089257D">
        <w:t xml:space="preserve">the </w:t>
      </w:r>
      <w:proofErr w:type="spellStart"/>
      <w:r>
        <w:t>subordinationism</w:t>
      </w:r>
      <w:proofErr w:type="spellEnd"/>
      <w:r w:rsidR="0089257D">
        <w:t xml:space="preserve"> found in Arius, </w:t>
      </w:r>
      <w:proofErr w:type="spellStart"/>
      <w:r w:rsidR="0089257D">
        <w:t>Eunomius</w:t>
      </w:r>
      <w:proofErr w:type="spellEnd"/>
      <w:r w:rsidR="0089257D">
        <w:t>, and the like</w:t>
      </w:r>
      <w:r>
        <w:t>.</w:t>
      </w:r>
      <w:r w:rsidR="0089257D">
        <w:t xml:space="preserve"> Cyril’s formulation </w:t>
      </w:r>
      <w:r>
        <w:t xml:space="preserve">reverses this </w:t>
      </w:r>
      <w:r w:rsidR="0089257D">
        <w:t>model.</w:t>
      </w:r>
      <w:r>
        <w:t xml:space="preserve"> </w:t>
      </w:r>
      <w:r w:rsidR="0089257D">
        <w:t>I</w:t>
      </w:r>
      <w:r>
        <w:t>n his crit</w:t>
      </w:r>
      <w:r w:rsidR="00FB719B">
        <w:t xml:space="preserve">ique of Platonism, Cyril uses </w:t>
      </w:r>
      <w:r w:rsidR="0089257D">
        <w:t>description</w:t>
      </w:r>
      <w:r w:rsidR="00FB719B">
        <w:t>s</w:t>
      </w:r>
      <w:r w:rsidR="0089257D">
        <w:t xml:space="preserve"> that der</w:t>
      </w:r>
      <w:r w:rsidR="000F6E2C">
        <w:t>i</w:t>
      </w:r>
      <w:r w:rsidR="00FB719B">
        <w:t>ve from, and make</w:t>
      </w:r>
      <w:r w:rsidR="0089257D">
        <w:t xml:space="preserve"> the most </w:t>
      </w:r>
      <w:r>
        <w:t xml:space="preserve">sense </w:t>
      </w:r>
      <w:r w:rsidR="0089257D">
        <w:t>with</w:t>
      </w:r>
      <w:r>
        <w:t>in</w:t>
      </w:r>
      <w:r w:rsidR="0089257D">
        <w:t>,</w:t>
      </w:r>
      <w:r>
        <w:t xml:space="preserve"> pro-Nicene polemic against non-Nicene theology. </w:t>
      </w:r>
      <w:r w:rsidR="0089257D">
        <w:t>Thus, Cyril’s anti-Platonism is implicit anti-Arianism, but not because Arianism is Platonism but rather because, to him, Plato</w:t>
      </w:r>
      <w:r w:rsidR="000F6E2C">
        <w:t>nism resembles Arianism. In using this</w:t>
      </w:r>
      <w:r w:rsidR="0089257D">
        <w:t xml:space="preserve"> explanatory model, Cyril follows</w:t>
      </w:r>
      <w:r>
        <w:t xml:space="preserve"> </w:t>
      </w:r>
      <w:r>
        <w:lastRenderedPageBreak/>
        <w:t xml:space="preserve">the opening chapters of Gregory of Nyssa’s </w:t>
      </w:r>
      <w:r>
        <w:rPr>
          <w:i/>
        </w:rPr>
        <w:t>Catechetical Oration</w:t>
      </w:r>
      <w:r>
        <w:t>, where Gregory uses anti-“Arian” arguments against the polytheism of the Greeks, including philosophical Greeks.</w:t>
      </w:r>
      <w:r w:rsidR="000F6E2C">
        <w:rPr>
          <w:rStyle w:val="FootnoteReference"/>
        </w:rPr>
        <w:footnoteReference w:id="41"/>
      </w:r>
      <w:r>
        <w:t xml:space="preserve"> </w:t>
      </w:r>
      <w:r w:rsidR="0089257D">
        <w:t xml:space="preserve">The Greeks, according to Gregory, err in positing </w:t>
      </w:r>
      <w:r>
        <w:t xml:space="preserve">a </w:t>
      </w:r>
      <w:r w:rsidR="0089257D">
        <w:t>“</w:t>
      </w:r>
      <w:r>
        <w:t>more and a less</w:t>
      </w:r>
      <w:r w:rsidR="0089257D">
        <w:t>”</w:t>
      </w:r>
      <w:r w:rsidR="00C4057F">
        <w:t xml:space="preserve"> in the divinity</w:t>
      </w:r>
      <w:r w:rsidR="00386449">
        <w:t xml:space="preserve">—though again, this more likely refers to </w:t>
      </w:r>
      <w:proofErr w:type="spellStart"/>
      <w:r w:rsidR="00386449">
        <w:rPr>
          <w:i/>
        </w:rPr>
        <w:t>Timaeus</w:t>
      </w:r>
      <w:proofErr w:type="spellEnd"/>
      <w:r w:rsidR="00386449">
        <w:t xml:space="preserve"> than to the Neoplatonist hypostases</w:t>
      </w:r>
      <w:r w:rsidR="00C4057F">
        <w:t>.</w:t>
      </w:r>
      <w:r w:rsidR="00386449">
        <w:t xml:space="preserve"> They key point here is that this is the same language Gregory uses</w:t>
      </w:r>
      <w:r>
        <w:t xml:space="preserve"> </w:t>
      </w:r>
      <w:r w:rsidR="0089257D">
        <w:t>to describe his opponents</w:t>
      </w:r>
      <w:r w:rsidR="00386449">
        <w:t>’ theology</w:t>
      </w:r>
      <w:r w:rsidR="0089257D">
        <w:t xml:space="preserve"> in his (likely earlier) books</w:t>
      </w:r>
      <w:r>
        <w:t xml:space="preserve"> against </w:t>
      </w:r>
      <w:proofErr w:type="spellStart"/>
      <w:r>
        <w:t>Eunomius</w:t>
      </w:r>
      <w:proofErr w:type="spellEnd"/>
      <w:r>
        <w:t xml:space="preserve"> and </w:t>
      </w:r>
      <w:r w:rsidR="0089257D">
        <w:t xml:space="preserve">the </w:t>
      </w:r>
      <w:proofErr w:type="spellStart"/>
      <w:r>
        <w:t>Pneumatomachian</w:t>
      </w:r>
      <w:r w:rsidR="0089257D">
        <w:t>s</w:t>
      </w:r>
      <w:proofErr w:type="spellEnd"/>
      <w:r>
        <w:t>. Gregory and Cyril by implication, though not explicitly, accuse their non-Christian rivals of Arianism; they do not accuse their Christian rivals of Platonism</w:t>
      </w:r>
      <w:r w:rsidR="00386449">
        <w:t>, or at least not of copying the Neoplatonist three hypostases</w:t>
      </w:r>
      <w:r>
        <w:t xml:space="preserve">. </w:t>
      </w:r>
      <w:r w:rsidR="00404257">
        <w:t xml:space="preserve">The genealogy envisioned in modern works, according to which a common doctrine of </w:t>
      </w:r>
      <w:proofErr w:type="spellStart"/>
      <w:r w:rsidR="00404257">
        <w:t>subordinationism</w:t>
      </w:r>
      <w:proofErr w:type="spellEnd"/>
      <w:r w:rsidR="00404257">
        <w:t xml:space="preserve"> originates among the Platonists and emanates thence to the Arians, could nonetheless be true; the point here is that it is not native to the sources. </w:t>
      </w:r>
      <w:r w:rsidR="0089257D">
        <w:t>To the contrary, t</w:t>
      </w:r>
      <w:r w:rsidR="00291A03">
        <w:t xml:space="preserve">he pro-Nicene texts instead emphasize the continuity between Platonism and what they take as orthodox </w:t>
      </w:r>
      <w:proofErr w:type="spellStart"/>
      <w:r w:rsidR="00291A03">
        <w:t>Trinitarianism</w:t>
      </w:r>
      <w:proofErr w:type="spellEnd"/>
      <w:r w:rsidR="00291A03">
        <w:t>. In Cyril’s words: “</w:t>
      </w:r>
      <w:r w:rsidR="00291A03" w:rsidRPr="00B47DCA">
        <w:t xml:space="preserve">the Greeks themselves also agree with the views of the Christians, since they set forth three primal </w:t>
      </w:r>
      <w:r w:rsidR="00291A03" w:rsidRPr="00B47DCA">
        <w:rPr>
          <w:i/>
          <w:iCs/>
        </w:rPr>
        <w:t>hypostases</w:t>
      </w:r>
      <w:r w:rsidR="00291A03" w:rsidRPr="00B47DCA">
        <w:t xml:space="preserve">, insist that the essence of God reaches as far as three </w:t>
      </w:r>
      <w:r w:rsidR="00291A03" w:rsidRPr="00B47DCA">
        <w:rPr>
          <w:i/>
          <w:iCs/>
        </w:rPr>
        <w:t>hypostases</w:t>
      </w:r>
      <w:r w:rsidR="00291A03" w:rsidRPr="00B47DCA">
        <w:t>, and sometimes even use the word ‘Trinity.’”</w:t>
      </w:r>
      <w:r w:rsidR="00291A03" w:rsidRPr="00B47DCA">
        <w:rPr>
          <w:rStyle w:val="FootnoteReference"/>
        </w:rPr>
        <w:footnoteReference w:id="42"/>
      </w:r>
      <w:r w:rsidR="0089257D">
        <w:t xml:space="preserve"> </w:t>
      </w:r>
      <w:r w:rsidR="00FB719B">
        <w:t xml:space="preserve">In fact, Cyril notes that other </w:t>
      </w:r>
      <w:proofErr w:type="spellStart"/>
      <w:r w:rsidR="00FB719B">
        <w:t>Plotinian</w:t>
      </w:r>
      <w:proofErr w:type="spellEnd"/>
      <w:r w:rsidR="00FB719B">
        <w:t xml:space="preserve"> passages cohere well with pro-Nicene doctrine. He cites 5.16, where Plotinus emphasizes what Cyril calls the “inseparability” of the hypostases; in Plotinus’s terms, the three “are only separated by being different,” which Cyril notes is impeccably orthodox.</w:t>
      </w:r>
      <w:r w:rsidR="00FB719B">
        <w:rPr>
          <w:rStyle w:val="FootnoteReference"/>
        </w:rPr>
        <w:footnoteReference w:id="43"/>
      </w:r>
    </w:p>
    <w:p w:rsidR="00FC1B1E" w:rsidRPr="00FC1B1E" w:rsidRDefault="00191DD8" w:rsidP="004410F4">
      <w:pPr>
        <w:spacing w:before="240" w:line="480" w:lineRule="auto"/>
        <w:ind w:firstLine="720"/>
      </w:pPr>
      <w:r>
        <w:t>We know of no comparable harmonization effort by an anti-Nicene author</w:t>
      </w:r>
      <w:r w:rsidR="00286A13">
        <w:t>. To be sure, Eusebius’s theology does not correspond to later pro-Nicene orthodoxy.</w:t>
      </w:r>
      <w:r w:rsidR="004410F4">
        <w:t xml:space="preserve"> Still, </w:t>
      </w:r>
      <w:r w:rsidR="00286A13">
        <w:t xml:space="preserve">the work in which </w:t>
      </w:r>
      <w:r w:rsidR="00286A13">
        <w:lastRenderedPageBreak/>
        <w:t xml:space="preserve">Eusebius lays out his harmonization, the </w:t>
      </w:r>
      <w:r w:rsidR="004410F4">
        <w:rPr>
          <w:i/>
        </w:rPr>
        <w:t>Preparation</w:t>
      </w:r>
      <w:r w:rsidR="00286A13">
        <w:rPr>
          <w:i/>
        </w:rPr>
        <w:t xml:space="preserve"> for the Gospel</w:t>
      </w:r>
      <w:r w:rsidR="00286A13">
        <w:t>, was composed prior to the outbreak of the Nicene and post-Nicene conflicts (such as Eusebius’s writings against Marcellus) and it bears no trace of those debates. Moreover, t</w:t>
      </w:r>
      <w:r w:rsidR="004410F4">
        <w:t xml:space="preserve">he </w:t>
      </w:r>
      <w:r w:rsidR="004410F4">
        <w:rPr>
          <w:i/>
        </w:rPr>
        <w:t>Preparation</w:t>
      </w:r>
      <w:r w:rsidR="004410F4">
        <w:t xml:space="preserve"> was used liberally by later pro-</w:t>
      </w:r>
      <w:proofErr w:type="spellStart"/>
      <w:r w:rsidR="004410F4">
        <w:t>Nicenes</w:t>
      </w:r>
      <w:proofErr w:type="spellEnd"/>
      <w:r w:rsidR="004410F4">
        <w:t xml:space="preserve"> like </w:t>
      </w:r>
      <w:proofErr w:type="spellStart"/>
      <w:r w:rsidR="004410F4">
        <w:t>Theodoret</w:t>
      </w:r>
      <w:proofErr w:type="spellEnd"/>
      <w:r w:rsidR="004410F4">
        <w:t xml:space="preserve"> and Cyril, for whom its harmonizing argument was evidently not totally colored by an anti-Nicene agenda. </w:t>
      </w:r>
    </w:p>
    <w:p w:rsidR="0025527D" w:rsidRDefault="00FC1B1E" w:rsidP="00291A03">
      <w:pPr>
        <w:spacing w:before="240" w:line="480" w:lineRule="auto"/>
      </w:pPr>
      <w:r>
        <w:tab/>
      </w:r>
      <w:r w:rsidR="00386449">
        <w:t>T</w:t>
      </w:r>
      <w:r w:rsidR="00431740">
        <w:t xml:space="preserve">he </w:t>
      </w:r>
      <w:r w:rsidR="00F43632">
        <w:t>pu</w:t>
      </w:r>
      <w:r w:rsidR="00291A03">
        <w:t xml:space="preserve">rported similarity </w:t>
      </w:r>
      <w:r w:rsidR="001B14EB">
        <w:t xml:space="preserve">between </w:t>
      </w:r>
      <w:r w:rsidR="004410F4">
        <w:t>“</w:t>
      </w:r>
      <w:r w:rsidR="001B14EB">
        <w:t xml:space="preserve">Arianism” and “Platonism” </w:t>
      </w:r>
      <w:r w:rsidR="00291A03">
        <w:t>weaken</w:t>
      </w:r>
      <w:r w:rsidR="001B14EB">
        <w:t>s further</w:t>
      </w:r>
      <w:r w:rsidR="00431740">
        <w:t xml:space="preserve"> when we consider the importance of</w:t>
      </w:r>
      <w:r w:rsidR="0069795F">
        <w:t xml:space="preserve"> voluntarism</w:t>
      </w:r>
      <w:r w:rsidR="00431740">
        <w:t xml:space="preserve"> to Arius and </w:t>
      </w:r>
      <w:proofErr w:type="spellStart"/>
      <w:r w:rsidR="00431740">
        <w:t>Eunomius</w:t>
      </w:r>
      <w:proofErr w:type="spellEnd"/>
      <w:r w:rsidR="0069795F">
        <w:t xml:space="preserve">. </w:t>
      </w:r>
      <w:r w:rsidR="00F43632">
        <w:t xml:space="preserve">The strongly </w:t>
      </w:r>
      <w:proofErr w:type="spellStart"/>
      <w:r w:rsidR="00F43632">
        <w:t>voluntarist</w:t>
      </w:r>
      <w:proofErr w:type="spellEnd"/>
      <w:r w:rsidR="00F43632">
        <w:t xml:space="preserve"> character of non-Nicene theologies—as evident in the surviving works of Arius or </w:t>
      </w:r>
      <w:proofErr w:type="spellStart"/>
      <w:r w:rsidR="00F43632">
        <w:t>Eunomius</w:t>
      </w:r>
      <w:proofErr w:type="spellEnd"/>
      <w:r w:rsidR="00F43632">
        <w:t>—clashes with mainstream Platonism.</w:t>
      </w:r>
      <w:r w:rsidR="00F43632">
        <w:rPr>
          <w:rStyle w:val="FootnoteReference"/>
        </w:rPr>
        <w:footnoteReference w:id="44"/>
      </w:r>
      <w:r w:rsidR="00F43632">
        <w:t xml:space="preserve"> </w:t>
      </w:r>
      <w:r w:rsidR="00E719F2">
        <w:t>Plotinus insists that Intellect’s emergence from the One is not a result of any act of willing on the part of the One.</w:t>
      </w:r>
      <w:r w:rsidR="00E719F2">
        <w:rPr>
          <w:rStyle w:val="FootnoteReference"/>
        </w:rPr>
        <w:footnoteReference w:id="45"/>
      </w:r>
      <w:r w:rsidR="00E719F2">
        <w:t xml:space="preserve"> T</w:t>
      </w:r>
      <w:r w:rsidR="00F43632">
        <w:t>he production of Intelligence from the One</w:t>
      </w:r>
      <w:r w:rsidR="00E719F2">
        <w:t xml:space="preserve"> is instead like light radiating from the sun, heating from fire, cool from snow, scent from perfume</w:t>
      </w:r>
      <w:r w:rsidR="00F43632">
        <w:t>. Plotinus does not entirely deny the voluntariness of the One’s activity, but for him it coincides with the necessity of its acts.</w:t>
      </w:r>
      <w:r w:rsidR="00F43632">
        <w:rPr>
          <w:rStyle w:val="FootnoteReference"/>
        </w:rPr>
        <w:footnoteReference w:id="46"/>
      </w:r>
      <w:r w:rsidR="00F43632">
        <w:t xml:space="preserve"> He finds vacuous any appeal to divine will to explain the everlasting existence of the cosmos.</w:t>
      </w:r>
      <w:r w:rsidR="00F43632">
        <w:rPr>
          <w:rStyle w:val="FootnoteReference"/>
        </w:rPr>
        <w:footnoteReference w:id="47"/>
      </w:r>
      <w:r w:rsidR="00F43632">
        <w:t xml:space="preserve"> By contrast, for Arius, God’s will is the sole explanatory principle</w:t>
      </w:r>
      <w:r w:rsidR="001B14EB">
        <w:t xml:space="preserve"> for creation</w:t>
      </w:r>
      <w:r w:rsidR="00F43632">
        <w:t>. The Son himself was created “by the will” of God.</w:t>
      </w:r>
      <w:r w:rsidR="00F43632">
        <w:rPr>
          <w:rStyle w:val="FootnoteReference"/>
        </w:rPr>
        <w:footnoteReference w:id="48"/>
      </w:r>
      <w:r w:rsidR="00E719F2">
        <w:t xml:space="preserve"> </w:t>
      </w:r>
      <w:r w:rsidR="00F43632">
        <w:t xml:space="preserve">Arius explicitly rejects the comparison of the Son’s generation to the lighting of one lamp from </w:t>
      </w:r>
      <w:r w:rsidR="00F43632">
        <w:lastRenderedPageBreak/>
        <w:t xml:space="preserve">another. For </w:t>
      </w:r>
      <w:proofErr w:type="spellStart"/>
      <w:r w:rsidR="00F43632">
        <w:t>Eunomius</w:t>
      </w:r>
      <w:proofErr w:type="spellEnd"/>
      <w:r w:rsidR="00F43632">
        <w:t xml:space="preserve">, the Son was begotten by the Father’s will </w:t>
      </w:r>
      <w:r w:rsidR="00B722F8">
        <w:t>rather than from the Father’s being.</w:t>
      </w:r>
      <w:r w:rsidR="00B722F8">
        <w:rPr>
          <w:rStyle w:val="FootnoteReference"/>
        </w:rPr>
        <w:footnoteReference w:id="49"/>
      </w:r>
      <w:r w:rsidR="00B722F8">
        <w:t xml:space="preserve"> The Son is</w:t>
      </w:r>
      <w:r w:rsidR="00F43632">
        <w:t xml:space="preserve"> obedient to the Father’s command in his works, as the Spirit is to him.</w:t>
      </w:r>
      <w:r w:rsidR="00F43632">
        <w:rPr>
          <w:rStyle w:val="FootnoteReference"/>
        </w:rPr>
        <w:footnoteReference w:id="50"/>
      </w:r>
      <w:r w:rsidR="00F43632">
        <w:t xml:space="preserve"> </w:t>
      </w:r>
    </w:p>
    <w:p w:rsidR="007C7B32" w:rsidRDefault="007C7B32" w:rsidP="0025527D">
      <w:pPr>
        <w:spacing w:before="240" w:line="480" w:lineRule="auto"/>
        <w:ind w:firstLine="720"/>
      </w:pPr>
      <w:r>
        <w:t>No pro-Nicene</w:t>
      </w:r>
      <w:r w:rsidR="00F43632">
        <w:t xml:space="preserve"> author represents the Trinity in such highly </w:t>
      </w:r>
      <w:proofErr w:type="spellStart"/>
      <w:r w:rsidR="00F43632">
        <w:t>voluntarist</w:t>
      </w:r>
      <w:proofErr w:type="spellEnd"/>
      <w:r w:rsidR="00F43632">
        <w:t xml:space="preserve"> terms.</w:t>
      </w:r>
      <w:r w:rsidR="00F43632">
        <w:rPr>
          <w:rStyle w:val="FootnoteReference"/>
        </w:rPr>
        <w:footnoteReference w:id="51"/>
      </w:r>
      <w:r w:rsidR="00F43632">
        <w:t xml:space="preserve"> Take Gregory of </w:t>
      </w:r>
      <w:proofErr w:type="spellStart"/>
      <w:r w:rsidR="00F43632">
        <w:t>Nazianzus</w:t>
      </w:r>
      <w:proofErr w:type="spellEnd"/>
      <w:r w:rsidR="00F43632">
        <w:t xml:space="preserve"> as an example. On the surface </w:t>
      </w:r>
      <w:proofErr w:type="spellStart"/>
      <w:r w:rsidR="00F43632">
        <w:t>Nazianzen</w:t>
      </w:r>
      <w:proofErr w:type="spellEnd"/>
      <w:r w:rsidR="00F43632">
        <w:t xml:space="preserve"> seems to exemplify the narrative of pro-Nicene rejection of Platonism, since he </w:t>
      </w:r>
      <w:r w:rsidR="005B2E54">
        <w:t>rejects</w:t>
      </w:r>
      <w:r w:rsidR="00F43632">
        <w:t xml:space="preserve"> </w:t>
      </w:r>
      <w:r w:rsidR="005B2E54">
        <w:t xml:space="preserve">an image used </w:t>
      </w:r>
      <w:r w:rsidR="00121E63">
        <w:t xml:space="preserve">by </w:t>
      </w:r>
      <w:r w:rsidR="009422D7">
        <w:t>“one of the Greek philosophers”</w:t>
      </w:r>
      <w:r w:rsidR="00121E63">
        <w:t xml:space="preserve"> in which</w:t>
      </w:r>
      <w:r w:rsidR="005B2E54">
        <w:t xml:space="preserve"> </w:t>
      </w:r>
      <w:r w:rsidR="00121E63">
        <w:t xml:space="preserve">the first principle’s generation of the second hypostasis is likened to </w:t>
      </w:r>
      <w:r w:rsidR="005B2E54">
        <w:t>an “overflowing bowl.”</w:t>
      </w:r>
      <w:r w:rsidR="005B2E54">
        <w:rPr>
          <w:rStyle w:val="FootnoteReference"/>
        </w:rPr>
        <w:footnoteReference w:id="52"/>
      </w:r>
      <w:r w:rsidR="005B2E54">
        <w:t xml:space="preserve"> </w:t>
      </w:r>
      <w:r w:rsidR="00121E63">
        <w:t xml:space="preserve">The image apparently is taken both from Plotinus and the </w:t>
      </w:r>
      <w:r w:rsidR="00121E63">
        <w:rPr>
          <w:i/>
        </w:rPr>
        <w:t>Chaldean Oracles</w:t>
      </w:r>
      <w:r w:rsidR="00121E63">
        <w:t>.</w:t>
      </w:r>
      <w:r w:rsidR="00121E63">
        <w:rPr>
          <w:rStyle w:val="FootnoteReference"/>
        </w:rPr>
        <w:footnoteReference w:id="53"/>
      </w:r>
      <w:r w:rsidR="00121E63">
        <w:t xml:space="preserve"> </w:t>
      </w:r>
      <w:r w:rsidR="00546423">
        <w:t xml:space="preserve">For Gregory, the image implies </w:t>
      </w:r>
      <w:r w:rsidR="005B2E54">
        <w:t xml:space="preserve">that the </w:t>
      </w:r>
      <w:r>
        <w:t xml:space="preserve">eternal </w:t>
      </w:r>
      <w:r w:rsidR="005B2E54">
        <w:t>generation</w:t>
      </w:r>
      <w:r>
        <w:t xml:space="preserve"> </w:t>
      </w:r>
      <w:r w:rsidR="005B2E54">
        <w:t>is involuntary</w:t>
      </w:r>
      <w:r w:rsidR="00546423">
        <w:t>, a notion he rejects. But Gregory</w:t>
      </w:r>
      <w:r>
        <w:t xml:space="preserve"> rightly associates his non-Nicene opponents with the opposite view, namely, that the </w:t>
      </w:r>
      <w:r w:rsidR="00546423">
        <w:t>Son is generated</w:t>
      </w:r>
      <w:r>
        <w:t xml:space="preserve"> from the Father’s will. His response is </w:t>
      </w:r>
      <w:r w:rsidR="00F04411">
        <w:t>not to embrace voluntarism or</w:t>
      </w:r>
      <w:r w:rsidR="00546423">
        <w:t xml:space="preserve"> </w:t>
      </w:r>
      <w:proofErr w:type="spellStart"/>
      <w:r w:rsidR="00546423">
        <w:t>involuntarism</w:t>
      </w:r>
      <w:proofErr w:type="spellEnd"/>
      <w:r w:rsidR="00546423">
        <w:t xml:space="preserve"> but rather </w:t>
      </w:r>
      <w:r>
        <w:t>to deny that one can separate God’s will from God’s act of generating, an argument that seems rather like Plotinus’s account of the will of the One.</w:t>
      </w:r>
      <w:r w:rsidR="00546423">
        <w:rPr>
          <w:rStyle w:val="FootnoteReference"/>
        </w:rPr>
        <w:footnoteReference w:id="54"/>
      </w:r>
      <w:r w:rsidR="00546423">
        <w:t xml:space="preserve"> Thus, </w:t>
      </w:r>
      <w:proofErr w:type="spellStart"/>
      <w:r w:rsidR="00546423">
        <w:t>Nazianzen</w:t>
      </w:r>
      <w:proofErr w:type="spellEnd"/>
      <w:r w:rsidR="00546423">
        <w:t>, who on the surface distances himself from “the Greeks” on this issue, provides no</w:t>
      </w:r>
      <w:r>
        <w:t xml:space="preserve"> evidence for any connection between anti-Arianism and anti-Platonism.</w:t>
      </w:r>
    </w:p>
    <w:p w:rsidR="00362185" w:rsidRDefault="007C7B32" w:rsidP="007C7B32">
      <w:pPr>
        <w:spacing w:before="240" w:line="480" w:lineRule="auto"/>
        <w:ind w:firstLine="720"/>
      </w:pPr>
      <w:r>
        <w:t xml:space="preserve">  </w:t>
      </w:r>
      <w:r w:rsidR="003F50D7">
        <w:t>The critici</w:t>
      </w:r>
      <w:r w:rsidR="00546423">
        <w:t>sm offered here of the Arianism-as-</w:t>
      </w:r>
      <w:r w:rsidR="003F50D7">
        <w:t xml:space="preserve">Platonism trope should not be taken too far. There is no sense in denying any and all influence of Platonism on figures like Arius or </w:t>
      </w:r>
      <w:proofErr w:type="spellStart"/>
      <w:r w:rsidR="003F50D7">
        <w:t>Eunomius</w:t>
      </w:r>
      <w:proofErr w:type="spellEnd"/>
      <w:r w:rsidR="003F50D7">
        <w:t xml:space="preserve">. There has been some controversy of the precise nature of the Platonism of Arius in </w:t>
      </w:r>
      <w:r w:rsidR="003F50D7">
        <w:lastRenderedPageBreak/>
        <w:t>particular, but unquestionably some of his language echoes Platonist metaphysics.</w:t>
      </w:r>
      <w:r w:rsidR="003F50D7">
        <w:rPr>
          <w:rStyle w:val="FootnoteReference"/>
        </w:rPr>
        <w:footnoteReference w:id="55"/>
      </w:r>
      <w:r w:rsidR="003F50D7">
        <w:t xml:space="preserve"> The point of the present discussion is that it is not Arianism as such that was Platonist; Arius and those labeled “Arians” were no more especi</w:t>
      </w:r>
      <w:r w:rsidR="00074123">
        <w:t>ally Platonizing, and were in important respects</w:t>
      </w:r>
      <w:r w:rsidR="003F50D7">
        <w:t xml:space="preserve"> less s</w:t>
      </w:r>
      <w:r w:rsidR="00546423">
        <w:t>o, than their Nicene opponents. Nor was</w:t>
      </w:r>
      <w:r w:rsidR="00E0139A">
        <w:t xml:space="preserve"> anti-Arianism implicit or covert anti-Platonism. In one or two cases, anti-Platonism was implicit or covert anti-Arianism, but generally the pro-</w:t>
      </w:r>
      <w:proofErr w:type="spellStart"/>
      <w:r w:rsidR="00E0139A">
        <w:t>Nicenes</w:t>
      </w:r>
      <w:proofErr w:type="spellEnd"/>
      <w:r w:rsidR="00E0139A">
        <w:t xml:space="preserve"> identified greater continuity between their own doctrine and that of their Platonist sources than between their opponents and the Platonists.</w:t>
      </w:r>
    </w:p>
    <w:p w:rsidR="00B722F8" w:rsidRDefault="00B722F8" w:rsidP="00634304">
      <w:pPr>
        <w:spacing w:line="480" w:lineRule="auto"/>
      </w:pPr>
    </w:p>
    <w:p w:rsidR="00634304" w:rsidRPr="00ED1224" w:rsidRDefault="00362185" w:rsidP="00634304">
      <w:pPr>
        <w:spacing w:line="480" w:lineRule="auto"/>
      </w:pPr>
      <w:r>
        <w:t xml:space="preserve"> </w:t>
      </w:r>
      <w:r w:rsidR="00ED1224">
        <w:rPr>
          <w:i/>
        </w:rPr>
        <w:t xml:space="preserve">From Platonism to </w:t>
      </w:r>
      <w:proofErr w:type="spellStart"/>
      <w:r w:rsidR="00ED1224">
        <w:rPr>
          <w:i/>
        </w:rPr>
        <w:t>Trinitarianism</w:t>
      </w:r>
      <w:proofErr w:type="spellEnd"/>
      <w:r w:rsidR="00ED1224">
        <w:rPr>
          <w:i/>
        </w:rPr>
        <w:t>?</w:t>
      </w:r>
    </w:p>
    <w:p w:rsidR="00CD601B" w:rsidRDefault="00E0139A" w:rsidP="00634304">
      <w:pPr>
        <w:spacing w:line="480" w:lineRule="auto"/>
      </w:pPr>
      <w:r>
        <w:t>A second obstacle</w:t>
      </w:r>
      <w:r w:rsidR="00546423">
        <w:t xml:space="preserve"> that </w:t>
      </w:r>
      <w:r w:rsidR="00E123F0">
        <w:t>a sympathetic account</w:t>
      </w:r>
      <w:r>
        <w:t xml:space="preserve"> </w:t>
      </w:r>
      <w:r w:rsidR="00546423">
        <w:t xml:space="preserve">needs to overcome </w:t>
      </w:r>
      <w:r>
        <w:t>lies in the notion</w:t>
      </w:r>
      <w:r w:rsidR="00270AA8">
        <w:t xml:space="preserve"> that the </w:t>
      </w:r>
      <w:r w:rsidR="00546423">
        <w:t>‘authentically Christian’</w:t>
      </w:r>
      <w:r w:rsidR="00E123F0">
        <w:t xml:space="preserve"> </w:t>
      </w:r>
      <w:r w:rsidR="00270AA8">
        <w:t xml:space="preserve">Creator-creature distinction competed with, and perhaps rendered redundant, the </w:t>
      </w:r>
      <w:r w:rsidR="00546423">
        <w:t>‘Platonic’</w:t>
      </w:r>
      <w:r w:rsidR="00E123F0">
        <w:t xml:space="preserve"> </w:t>
      </w:r>
      <w:r w:rsidR="00270AA8">
        <w:t xml:space="preserve">intelligible-sensible distinction. The kernel of truth in this view is that </w:t>
      </w:r>
      <w:r w:rsidR="00074123">
        <w:t>pro-</w:t>
      </w:r>
      <w:r w:rsidR="00270AA8">
        <w:t>Nicene theology, as it emerged in the later fourth century, depended heavily on an appeal to the absolute distinction between the uncreated and the created. This dichotomy appears especially in pro</w:t>
      </w:r>
      <w:r w:rsidR="00074123">
        <w:t>-</w:t>
      </w:r>
      <w:r w:rsidR="00270AA8">
        <w:t>Nicene works on the Holy Spirit, which was bel</w:t>
      </w:r>
      <w:r w:rsidR="00F305BA">
        <w:t>ieved by some figures—labelled ‘</w:t>
      </w:r>
      <w:proofErr w:type="spellStart"/>
      <w:r w:rsidR="00270AA8">
        <w:t>Pneumatomac</w:t>
      </w:r>
      <w:r w:rsidR="00F305BA">
        <w:t>hians</w:t>
      </w:r>
      <w:proofErr w:type="spellEnd"/>
      <w:r w:rsidR="00F305BA">
        <w:t>’</w:t>
      </w:r>
      <w:r w:rsidR="00270AA8">
        <w:t xml:space="preserve"> </w:t>
      </w:r>
      <w:r w:rsidR="00F305BA">
        <w:t>or ‘Spirit–fighters’</w:t>
      </w:r>
      <w:r w:rsidR="00074123">
        <w:t xml:space="preserve"> by the pro-</w:t>
      </w:r>
      <w:proofErr w:type="spellStart"/>
      <w:r w:rsidR="00270AA8">
        <w:t>Nicenes</w:t>
      </w:r>
      <w:proofErr w:type="spellEnd"/>
      <w:r w:rsidR="00270AA8">
        <w:t xml:space="preserve">—to occupy an ambiguous intermediary zone between God and creation, like the angelic spirits. Certainly, as figures like Gregory of Nyssa pointed out, the distinction of uncreated and created is different from the traditionally Platonic one between intelligible and sensible reality. However, the scholarship has pushed Gregory’s </w:t>
      </w:r>
      <w:r w:rsidR="00191DD8">
        <w:t>parsing</w:t>
      </w:r>
      <w:r w:rsidR="00270AA8">
        <w:t xml:space="preserve"> of the two disti</w:t>
      </w:r>
      <w:r w:rsidR="00074123">
        <w:t>nctions</w:t>
      </w:r>
      <w:r w:rsidR="00191DD8">
        <w:t xml:space="preserve"> </w:t>
      </w:r>
      <w:r w:rsidR="00CD601B">
        <w:t>to do more work than it can</w:t>
      </w:r>
      <w:r w:rsidR="00270AA8">
        <w:t xml:space="preserve"> bear. </w:t>
      </w:r>
      <w:r w:rsidR="00C938D4">
        <w:t xml:space="preserve">The implication of the scholarship is that </w:t>
      </w:r>
      <w:r w:rsidR="00CD601B">
        <w:t xml:space="preserve">the two distinctions </w:t>
      </w:r>
      <w:r w:rsidR="00C938D4">
        <w:t>w</w:t>
      </w:r>
      <w:r w:rsidR="00CD601B">
        <w:t xml:space="preserve">ere mutually exclusive </w:t>
      </w:r>
      <w:r w:rsidR="00CD601B">
        <w:rPr>
          <w:i/>
        </w:rPr>
        <w:t xml:space="preserve">and </w:t>
      </w:r>
      <w:r w:rsidR="00CD601B">
        <w:t xml:space="preserve">that they were the site of a kind of culture war between authentic Christianity and Platonism. </w:t>
      </w:r>
      <w:r w:rsidR="00E96625">
        <w:t xml:space="preserve">Naturally, </w:t>
      </w:r>
      <w:r w:rsidR="00E96625">
        <w:lastRenderedPageBreak/>
        <w:t>such a reading is important for those modern theologians who maintain that one can be dogmatically orthodox—espousing a Trinitarian theology and Christology in line with the first four councils—without espousing classical metaphysics.</w:t>
      </w:r>
      <w:r w:rsidR="00E96625">
        <w:rPr>
          <w:rStyle w:val="FootnoteReference"/>
        </w:rPr>
        <w:footnoteReference w:id="56"/>
      </w:r>
      <w:r w:rsidR="008E2DD4">
        <w:t xml:space="preserve"> Whatever one’s perspective on that question, it is worthwhile to ask about the validity of the underlying historical narrative.</w:t>
      </w:r>
      <w:r w:rsidR="00F03AC1">
        <w:rPr>
          <w:rStyle w:val="FootnoteReference"/>
        </w:rPr>
        <w:footnoteReference w:id="57"/>
      </w:r>
    </w:p>
    <w:p w:rsidR="008E2DD4" w:rsidRDefault="008E2DD4" w:rsidP="00634304">
      <w:pPr>
        <w:spacing w:line="480" w:lineRule="auto"/>
      </w:pPr>
      <w:r>
        <w:tab/>
      </w:r>
      <w:r w:rsidR="00916F26">
        <w:t xml:space="preserve">If we return to Augustine’s </w:t>
      </w:r>
      <w:r w:rsidR="00916F26">
        <w:rPr>
          <w:i/>
        </w:rPr>
        <w:t>Confessions</w:t>
      </w:r>
      <w:r w:rsidR="00916F26">
        <w:t xml:space="preserve"> VII, we might recall that, in addition to identifying analogues to the persons of the Christian Trinity in the books of the Platonists, Augustine tells</w:t>
      </w:r>
      <w:r w:rsidR="00191DD8">
        <w:t xml:space="preserve"> it was these books that first taught him</w:t>
      </w:r>
      <w:r w:rsidR="00916F26">
        <w:t xml:space="preserve"> to think of God as immaterial</w:t>
      </w:r>
      <w:r w:rsidR="00405086">
        <w:t>.</w:t>
      </w:r>
      <w:r w:rsidR="00916F26">
        <w:rPr>
          <w:rStyle w:val="FootnoteReference"/>
        </w:rPr>
        <w:footnoteReference w:id="58"/>
      </w:r>
      <w:r w:rsidR="00916F26">
        <w:t xml:space="preserve"> This point bears emphasis. </w:t>
      </w:r>
      <w:r w:rsidR="00405086">
        <w:t>As Augustine’s own story makes plain, this Platonist tenet makes for a somewhat counterintuitive reading of</w:t>
      </w:r>
      <w:r w:rsidR="00916F26">
        <w:t xml:space="preserve"> the</w:t>
      </w:r>
      <w:r w:rsidR="00405086">
        <w:t xml:space="preserve"> Christian scriptures, with their</w:t>
      </w:r>
      <w:r w:rsidR="00916F26">
        <w:t xml:space="preserve"> anthropomorphic imag</w:t>
      </w:r>
      <w:r w:rsidR="00405086">
        <w:t>ery and their depictions of</w:t>
      </w:r>
      <w:r w:rsidR="00C938D4">
        <w:t xml:space="preserve"> God </w:t>
      </w:r>
      <w:r w:rsidR="00916F26">
        <w:t>as spirit and light</w:t>
      </w:r>
      <w:r w:rsidR="00C938D4">
        <w:t>.</w:t>
      </w:r>
      <w:r w:rsidR="00916F26">
        <w:t xml:space="preserve"> Some early Christians, most promi</w:t>
      </w:r>
      <w:r w:rsidR="00036AD8">
        <w:t xml:space="preserve">nently Tertullian, endorsed the broadly </w:t>
      </w:r>
      <w:r w:rsidR="00916F26">
        <w:t>Stoic</w:t>
      </w:r>
      <w:r w:rsidR="00036AD8">
        <w:t xml:space="preserve"> principle that only what is corporeal has being</w:t>
      </w:r>
      <w:r w:rsidR="00916F26">
        <w:t>, and thus held that God must be a refined sort of spiritual body.</w:t>
      </w:r>
      <w:r w:rsidR="00916F26">
        <w:rPr>
          <w:rStyle w:val="FootnoteReference"/>
        </w:rPr>
        <w:footnoteReference w:id="59"/>
      </w:r>
      <w:r w:rsidR="00916F26">
        <w:t xml:space="preserve"> It is reasonable to believe that this</w:t>
      </w:r>
      <w:r w:rsidR="00F04411">
        <w:t xml:space="preserve"> ‘Stoic’</w:t>
      </w:r>
      <w:r w:rsidR="00C938D4">
        <w:t xml:space="preserve"> position was somewhat widely</w:t>
      </w:r>
      <w:r w:rsidR="00916F26">
        <w:t xml:space="preserve"> held, despite the relative lack of evidence for it; after all, it is the first misconception which Origen seeks to correct in </w:t>
      </w:r>
      <w:r w:rsidR="00916F26">
        <w:rPr>
          <w:i/>
        </w:rPr>
        <w:t>On First Principles</w:t>
      </w:r>
      <w:r w:rsidR="00916F26">
        <w:t>. But no mat</w:t>
      </w:r>
      <w:r w:rsidR="00405086">
        <w:t xml:space="preserve">ter how widespread </w:t>
      </w:r>
      <w:r w:rsidR="00916F26">
        <w:t>Christian</w:t>
      </w:r>
      <w:r w:rsidR="00405086">
        <w:t xml:space="preserve"> Stoicism might have been in Origen’s</w:t>
      </w:r>
      <w:r w:rsidR="00916F26">
        <w:t xml:space="preserve"> time, it had little influence on the development of Trinitarian theology. In Origen and many other</w:t>
      </w:r>
      <w:r w:rsidR="00405086">
        <w:t>s</w:t>
      </w:r>
      <w:r w:rsidR="00916F26">
        <w:t xml:space="preserve"> we see a notion of God as entirely unoriginated, incorporeal, immaterial, unchanging, and metaphysically simple. </w:t>
      </w:r>
      <w:r w:rsidR="00074123">
        <w:t xml:space="preserve">These Christians described </w:t>
      </w:r>
      <w:r w:rsidR="00916F26">
        <w:t>God’s nature, in the lingo of Platonism, as intelligible rather than as sense-</w:t>
      </w:r>
      <w:r w:rsidR="00916F26">
        <w:lastRenderedPageBreak/>
        <w:t xml:space="preserve">perceptible. </w:t>
      </w:r>
      <w:r w:rsidR="00074123">
        <w:t>They read Exodus 3:14 (“I am the one who is”)</w:t>
      </w:r>
      <w:r w:rsidR="00916F26">
        <w:t xml:space="preserve"> as revealing that God is Being itself, not becoming and flux and dependency.</w:t>
      </w:r>
    </w:p>
    <w:p w:rsidR="00916F26" w:rsidRDefault="00916F26" w:rsidP="00634304">
      <w:pPr>
        <w:spacing w:line="480" w:lineRule="auto"/>
      </w:pPr>
      <w:r>
        <w:tab/>
        <w:t>While</w:t>
      </w:r>
      <w:r w:rsidR="00074123">
        <w:t xml:space="preserve"> scholars widely acknowledge that</w:t>
      </w:r>
      <w:r>
        <w:t xml:space="preserve"> privatives like immutability and </w:t>
      </w:r>
      <w:proofErr w:type="spellStart"/>
      <w:r>
        <w:t>ingen</w:t>
      </w:r>
      <w:r w:rsidR="00074123">
        <w:t>eracy</w:t>
      </w:r>
      <w:proofErr w:type="spellEnd"/>
      <w:r w:rsidR="00074123">
        <w:t xml:space="preserve"> were</w:t>
      </w:r>
      <w:r>
        <w:t xml:space="preserve"> central to early Christian Trinitarian thought, their rootedness in Platonism is sometimes obscured in scholarship. </w:t>
      </w:r>
      <w:r w:rsidR="00C938D4">
        <w:t xml:space="preserve">Sometimes </w:t>
      </w:r>
      <w:r w:rsidR="00405086">
        <w:t xml:space="preserve">such </w:t>
      </w:r>
      <w:r w:rsidR="00C938D4">
        <w:t xml:space="preserve">ideas </w:t>
      </w:r>
      <w:r w:rsidR="00405086">
        <w:t>are presented as</w:t>
      </w:r>
      <w:r w:rsidR="00334F60">
        <w:t xml:space="preserve"> implicit in</w:t>
      </w:r>
      <w:r w:rsidR="00405086">
        <w:t xml:space="preserve"> </w:t>
      </w:r>
      <w:r w:rsidR="00C938D4">
        <w:t>scriptur</w:t>
      </w:r>
      <w:r w:rsidR="00334F60">
        <w:t xml:space="preserve">e </w:t>
      </w:r>
      <w:r w:rsidR="001D3653">
        <w:t xml:space="preserve">or in ideas, such as </w:t>
      </w:r>
      <w:proofErr w:type="spellStart"/>
      <w:r w:rsidR="001D3653">
        <w:rPr>
          <w:i/>
        </w:rPr>
        <w:t>creatio</w:t>
      </w:r>
      <w:proofErr w:type="spellEnd"/>
      <w:r w:rsidR="001D3653">
        <w:rPr>
          <w:i/>
        </w:rPr>
        <w:t xml:space="preserve"> ex nihilo</w:t>
      </w:r>
      <w:r w:rsidR="001D3653">
        <w:t>, which are derived from scripture and native to</w:t>
      </w:r>
      <w:r w:rsidR="001D3653" w:rsidRPr="001D3653">
        <w:t xml:space="preserve"> </w:t>
      </w:r>
      <w:r w:rsidR="001D3653">
        <w:t>early Jewish and Christian thought in contradistinction form Platonism</w:t>
      </w:r>
      <w:r>
        <w:t>.</w:t>
      </w:r>
      <w:r>
        <w:rPr>
          <w:rStyle w:val="FootnoteReference"/>
        </w:rPr>
        <w:footnoteReference w:id="60"/>
      </w:r>
      <w:r>
        <w:t xml:space="preserve"> </w:t>
      </w:r>
      <w:r w:rsidR="00074123">
        <w:t xml:space="preserve">For instance, Janet Soskice has claimed that </w:t>
      </w:r>
      <w:r>
        <w:t>Philo</w:t>
      </w:r>
      <w:r w:rsidR="00074123">
        <w:t xml:space="preserve"> stands behind such philosophical theology, and she reads P</w:t>
      </w:r>
      <w:r>
        <w:t xml:space="preserve">hilo </w:t>
      </w:r>
      <w:r w:rsidR="00074123">
        <w:t>a</w:t>
      </w:r>
      <w:r>
        <w:t>s a highly independent thinker whose great originality vis-à-vis Greek philosophy stems from his Jewish commitments.</w:t>
      </w:r>
      <w:r>
        <w:rPr>
          <w:rStyle w:val="FootnoteReference"/>
        </w:rPr>
        <w:footnoteReference w:id="61"/>
      </w:r>
      <w:r w:rsidR="00074123">
        <w:t xml:space="preserve"> </w:t>
      </w:r>
      <w:r w:rsidR="00405086">
        <w:t>Such historical reconstruction make</w:t>
      </w:r>
      <w:r w:rsidR="00DC2F33">
        <w:t>s</w:t>
      </w:r>
      <w:r w:rsidR="00405086">
        <w:t xml:space="preserve"> Platonism unnecessary for explaining the attraction of early Christians to the idea of God as </w:t>
      </w:r>
      <w:proofErr w:type="gramStart"/>
      <w:r w:rsidR="00405086">
        <w:t>Being</w:t>
      </w:r>
      <w:proofErr w:type="gramEnd"/>
      <w:r w:rsidR="00405086">
        <w:t xml:space="preserve"> itself. </w:t>
      </w:r>
      <w:r w:rsidR="00074123">
        <w:t>A</w:t>
      </w:r>
      <w:r>
        <w:t xml:space="preserve">n adequate response </w:t>
      </w:r>
      <w:r w:rsidR="00074123">
        <w:t xml:space="preserve">to such a genealogy </w:t>
      </w:r>
      <w:r>
        <w:t xml:space="preserve">would require a fuller study, but I see no reason why we should not follow Augustine—and we could cite other examples from the likes of Justin Martyr and </w:t>
      </w:r>
      <w:proofErr w:type="spellStart"/>
      <w:r>
        <w:t>Athenagoras</w:t>
      </w:r>
      <w:proofErr w:type="spellEnd"/>
      <w:r>
        <w:t>—and credit Platonism for a salutary influenc</w:t>
      </w:r>
      <w:r w:rsidR="00334F60">
        <w:t>e on Christian thinkers</w:t>
      </w:r>
      <w:r>
        <w:t xml:space="preserve">, as the latter joined the former in a twin battle against cruder interpretations of their respective religious traditions. </w:t>
      </w:r>
    </w:p>
    <w:p w:rsidR="00916F26" w:rsidRDefault="00916F26" w:rsidP="00916F26">
      <w:pPr>
        <w:spacing w:line="480" w:lineRule="auto"/>
      </w:pPr>
      <w:r>
        <w:tab/>
      </w:r>
      <w:r w:rsidR="00476C07">
        <w:t>A related</w:t>
      </w:r>
      <w:r w:rsidR="00334F60">
        <w:t xml:space="preserve"> scholarly </w:t>
      </w:r>
      <w:r w:rsidR="00476C07">
        <w:t>narrative</w:t>
      </w:r>
      <w:r w:rsidR="00334F60">
        <w:t xml:space="preserve"> </w:t>
      </w:r>
      <w:r w:rsidR="00476C07">
        <w:t>state</w:t>
      </w:r>
      <w:r w:rsidR="00334F60">
        <w:t>s that although Platonist accounts</w:t>
      </w:r>
      <w:r w:rsidR="00E57E08">
        <w:t xml:space="preserve"> of God as intelligible influenced</w:t>
      </w:r>
      <w:r w:rsidR="00334F60">
        <w:t xml:space="preserve"> ante-Nicene theology, </w:t>
      </w:r>
      <w:r>
        <w:t xml:space="preserve">as Trinitarian orthodoxy developed, Christians </w:t>
      </w:r>
      <w:r w:rsidR="00E57E08">
        <w:t>m</w:t>
      </w:r>
      <w:r w:rsidR="00334F60">
        <w:t>oved past the intelligible-</w:t>
      </w:r>
      <w:r>
        <w:t xml:space="preserve">sensible distinction. In </w:t>
      </w:r>
      <w:r w:rsidR="00C07392">
        <w:t>William</w:t>
      </w:r>
      <w:r w:rsidR="00E57E08">
        <w:t xml:space="preserve"> </w:t>
      </w:r>
      <w:r>
        <w:t xml:space="preserve">Moore and </w:t>
      </w:r>
      <w:r w:rsidR="00C07392">
        <w:t>Henry Austin</w:t>
      </w:r>
      <w:r w:rsidR="00E57E08">
        <w:t xml:space="preserve"> </w:t>
      </w:r>
      <w:r>
        <w:t xml:space="preserve">Wilson’s prologue to the </w:t>
      </w:r>
      <w:r w:rsidR="00C07392">
        <w:lastRenderedPageBreak/>
        <w:t xml:space="preserve">1893 </w:t>
      </w:r>
      <w:r>
        <w:rPr>
          <w:i/>
        </w:rPr>
        <w:t>Nicene and Post-Nicene Fathers</w:t>
      </w:r>
      <w:r>
        <w:t xml:space="preserve"> volume of Gregory of Nyssa’s writings, the contest between this distinction and the Creature</w:t>
      </w:r>
      <w:r w:rsidR="00334F60">
        <w:t>-</w:t>
      </w:r>
      <w:r>
        <w:t xml:space="preserve">creator distinction stands as microcosm of Christianity’s relation to Platonism: “instead of the Platonic antithesis of the intelligible and sensible world, which Origen </w:t>
      </w:r>
      <w:proofErr w:type="gramStart"/>
      <w:r>
        <w:t>adopted, . . .</w:t>
      </w:r>
      <w:proofErr w:type="gramEnd"/>
      <w:r>
        <w:t xml:space="preserve"> [Gregory] brings forward the antithesis of God and the world.”</w:t>
      </w:r>
      <w:r>
        <w:rPr>
          <w:rStyle w:val="FootnoteReference"/>
        </w:rPr>
        <w:footnoteReference w:id="62"/>
      </w:r>
      <w:r>
        <w:t xml:space="preserve"> This</w:t>
      </w:r>
      <w:r w:rsidR="00074123">
        <w:t xml:space="preserve"> account, which would be echoed by numerous later scholars,</w:t>
      </w:r>
      <w:r>
        <w:t xml:space="preserve"> is puzzling</w:t>
      </w:r>
      <w:r w:rsidR="00476C07">
        <w:t>, since</w:t>
      </w:r>
      <w:r>
        <w:t xml:space="preserve"> Gregory endorses both</w:t>
      </w:r>
      <w:r w:rsidRPr="00F20EEE">
        <w:t xml:space="preserve"> </w:t>
      </w:r>
      <w:r>
        <w:t xml:space="preserve">antitheses. In distinct parts of </w:t>
      </w:r>
      <w:r>
        <w:rPr>
          <w:i/>
        </w:rPr>
        <w:t xml:space="preserve">Against </w:t>
      </w:r>
      <w:proofErr w:type="spellStart"/>
      <w:r>
        <w:rPr>
          <w:i/>
        </w:rPr>
        <w:t>Eunomius</w:t>
      </w:r>
      <w:proofErr w:type="spellEnd"/>
      <w:r>
        <w:t>, Gregory first calls the one and then the other “the highest division of all beings” (</w:t>
      </w:r>
      <w:r>
        <w:rPr>
          <w:lang w:val="el-GR"/>
        </w:rPr>
        <w:t>πάντων</w:t>
      </w:r>
      <w:r w:rsidRPr="00A4229F">
        <w:t xml:space="preserve"> </w:t>
      </w:r>
      <w:r>
        <w:rPr>
          <w:lang w:val="el-GR"/>
        </w:rPr>
        <w:t>τῶν</w:t>
      </w:r>
      <w:r w:rsidRPr="00A4229F">
        <w:t xml:space="preserve"> </w:t>
      </w:r>
      <w:r>
        <w:rPr>
          <w:lang w:val="el-GR"/>
        </w:rPr>
        <w:t>ὄντων</w:t>
      </w:r>
      <w:r w:rsidRPr="00A4229F">
        <w:t xml:space="preserve"> </w:t>
      </w:r>
      <w:r>
        <w:rPr>
          <w:lang w:val="el-GR"/>
        </w:rPr>
        <w:t>ἡ</w:t>
      </w:r>
      <w:r w:rsidRPr="00A4229F">
        <w:t xml:space="preserve"> </w:t>
      </w:r>
      <w:r>
        <w:rPr>
          <w:lang w:val="el-GR"/>
        </w:rPr>
        <w:t>ἀνωτάτω</w:t>
      </w:r>
      <w:r w:rsidRPr="00A4229F">
        <w:t xml:space="preserve"> </w:t>
      </w:r>
      <w:r>
        <w:rPr>
          <w:lang w:val="el-GR"/>
        </w:rPr>
        <w:t>διαίρεσις</w:t>
      </w:r>
      <w:r>
        <w:t>).</w:t>
      </w:r>
      <w:r>
        <w:rPr>
          <w:rStyle w:val="FootnoteReference"/>
        </w:rPr>
        <w:footnoteReference w:id="63"/>
      </w:r>
      <w:r>
        <w:t xml:space="preserve"> Because the two distinctions do similar, but distinct work, Gregory continues to invoke both throughout his corpus for different purposes. From Moore and Wilson</w:t>
      </w:r>
      <w:r w:rsidR="00074123">
        <w:t xml:space="preserve">’s account, </w:t>
      </w:r>
      <w:r>
        <w:t>one would assume that the God–world</w:t>
      </w:r>
      <w:r w:rsidR="00334F60">
        <w:t xml:space="preserve"> distinction had superseded</w:t>
      </w:r>
      <w:r>
        <w:t xml:space="preserve"> the Platonic intelligible–sensible distinction</w:t>
      </w:r>
      <w:r w:rsidR="00334F60">
        <w:t>, the presumption being that</w:t>
      </w:r>
      <w:r>
        <w:t xml:space="preserve"> the two were held to be in competition.</w:t>
      </w:r>
      <w:r>
        <w:rPr>
          <w:rStyle w:val="FootnoteReference"/>
        </w:rPr>
        <w:footnoteReference w:id="64"/>
      </w:r>
      <w:r>
        <w:t xml:space="preserve"> The evidence, however, suggests a complementary rather than a competitive relationship between the two distinctions. A developmental hypothesis is out of the question, since in Gregory’s late homilies </w:t>
      </w:r>
      <w:r>
        <w:rPr>
          <w:i/>
        </w:rPr>
        <w:t>On the Song of Songs</w:t>
      </w:r>
      <w:r>
        <w:t xml:space="preserve">, as in </w:t>
      </w:r>
      <w:r>
        <w:rPr>
          <w:i/>
        </w:rPr>
        <w:t xml:space="preserve">Against </w:t>
      </w:r>
      <w:proofErr w:type="spellStart"/>
      <w:r>
        <w:rPr>
          <w:i/>
        </w:rPr>
        <w:t>Eunomius</w:t>
      </w:r>
      <w:proofErr w:type="spellEnd"/>
      <w:r>
        <w:rPr>
          <w:i/>
        </w:rPr>
        <w:t xml:space="preserve"> </w:t>
      </w:r>
      <w:r>
        <w:t xml:space="preserve">1, Gregory invokes </w:t>
      </w:r>
      <w:r w:rsidR="00036AD8">
        <w:t xml:space="preserve">not only the uncreated–created distinction but also </w:t>
      </w:r>
      <w:r>
        <w:t>the in</w:t>
      </w:r>
      <w:r w:rsidR="00036AD8">
        <w:t>telligible–sensible distinction, which he calls the</w:t>
      </w:r>
      <w:r>
        <w:t xml:space="preserve"> highest dichotomy (</w:t>
      </w:r>
      <w:r>
        <w:rPr>
          <w:lang w:val="el-GR"/>
        </w:rPr>
        <w:t>τὴν</w:t>
      </w:r>
      <w:r w:rsidRPr="008231D7">
        <w:t xml:space="preserve"> </w:t>
      </w:r>
      <w:r>
        <w:rPr>
          <w:lang w:val="el-GR"/>
        </w:rPr>
        <w:t>ἀνωτάτω</w:t>
      </w:r>
      <w:r w:rsidRPr="008231D7">
        <w:t xml:space="preserve"> </w:t>
      </w:r>
      <w:r>
        <w:rPr>
          <w:lang w:val="el-GR"/>
        </w:rPr>
        <w:t>διαίρεσιν</w:t>
      </w:r>
      <w:r>
        <w:t>) according to which “the nature of beings” (</w:t>
      </w:r>
      <w:r>
        <w:rPr>
          <w:lang w:val="el-GR"/>
        </w:rPr>
        <w:t>ἡ</w:t>
      </w:r>
      <w:r w:rsidRPr="008231D7">
        <w:t xml:space="preserve"> </w:t>
      </w:r>
      <w:r>
        <w:rPr>
          <w:lang w:val="el-GR"/>
        </w:rPr>
        <w:t>τῶν</w:t>
      </w:r>
      <w:r w:rsidRPr="008231D7">
        <w:t xml:space="preserve"> </w:t>
      </w:r>
      <w:r>
        <w:rPr>
          <w:lang w:val="el-GR"/>
        </w:rPr>
        <w:t>ὄντων</w:t>
      </w:r>
      <w:r w:rsidRPr="008231D7">
        <w:t xml:space="preserve"> </w:t>
      </w:r>
      <w:r>
        <w:rPr>
          <w:lang w:val="el-GR"/>
        </w:rPr>
        <w:t>φύσις</w:t>
      </w:r>
      <w:r>
        <w:t>) is bifurcated.</w:t>
      </w:r>
      <w:r>
        <w:rPr>
          <w:rStyle w:val="FootnoteReference"/>
        </w:rPr>
        <w:footnoteReference w:id="65"/>
      </w:r>
      <w:r w:rsidR="00334F60">
        <w:t xml:space="preserve"> </w:t>
      </w:r>
      <w:r w:rsidR="00036AD8">
        <w:t xml:space="preserve">It is </w:t>
      </w:r>
      <w:r>
        <w:t>logically though not ontologically prior</w:t>
      </w:r>
      <w:r w:rsidR="00036AD8">
        <w:t xml:space="preserve"> to the uncreated-</w:t>
      </w:r>
      <w:r w:rsidR="00036AD8">
        <w:lastRenderedPageBreak/>
        <w:t>created distinction</w:t>
      </w:r>
      <w:r>
        <w:t xml:space="preserve">, since </w:t>
      </w:r>
      <w:r w:rsidR="00036AD8">
        <w:t>without it</w:t>
      </w:r>
      <w:r>
        <w:t xml:space="preserve"> one could not account for the </w:t>
      </w:r>
      <w:proofErr w:type="spellStart"/>
      <w:r>
        <w:t>incorporeality</w:t>
      </w:r>
      <w:proofErr w:type="spellEnd"/>
      <w:r>
        <w:t xml:space="preserve"> of both</w:t>
      </w:r>
      <w:r w:rsidR="00191DD8">
        <w:t xml:space="preserve"> God and created </w:t>
      </w:r>
      <w:proofErr w:type="spellStart"/>
      <w:r w:rsidR="00191DD8">
        <w:t>intelligibles</w:t>
      </w:r>
      <w:proofErr w:type="spellEnd"/>
      <w:r w:rsidR="00191DD8">
        <w:t>, while</w:t>
      </w:r>
      <w:r w:rsidR="00334F60">
        <w:t xml:space="preserve"> </w:t>
      </w:r>
      <w:r>
        <w:t>a</w:t>
      </w:r>
      <w:r w:rsidR="00334F60">
        <w:t>ny</w:t>
      </w:r>
      <w:r>
        <w:t xml:space="preserve"> scheme that conflates the two distinctions could not account for the endless dynamism of created intelligible life.</w:t>
      </w:r>
      <w:r>
        <w:rPr>
          <w:rStyle w:val="FootnoteReference"/>
        </w:rPr>
        <w:footnoteReference w:id="66"/>
      </w:r>
      <w:r>
        <w:t xml:space="preserve"> Only an account that includes both distinctions can capture both the relevant similarities and differences between God and created intelligible</w:t>
      </w:r>
      <w:r w:rsidR="00F03AC1">
        <w:t xml:space="preserve"> substances</w:t>
      </w:r>
      <w:r>
        <w:t xml:space="preserve"> such as the human soul. If Gregory is at all representative in this regard, the task for scholars would be to narrate the history of Christian doctrine in a way that reflects this complementarity, rather than in a way that begs the question by presuming an irreconcilable conflict between Platonism and Christianity.</w:t>
      </w:r>
    </w:p>
    <w:p w:rsidR="00916F26" w:rsidRPr="001D3653" w:rsidRDefault="006C2928" w:rsidP="00916F26">
      <w:pPr>
        <w:spacing w:line="480" w:lineRule="auto"/>
      </w:pPr>
      <w:r>
        <w:tab/>
        <w:t>The</w:t>
      </w:r>
      <w:r w:rsidR="00334F60">
        <w:t xml:space="preserve"> more consequential historical dividing point on this topic is not that between ante- and pro-Nicene thought but that between Christians prior to and after Pseudo-Dionysius. </w:t>
      </w:r>
      <w:r>
        <w:t>While Gregory was happy to speak of the uncreated–created division as somehow fitting i</w:t>
      </w:r>
      <w:r w:rsidR="001D3653">
        <w:t xml:space="preserve">nto a general division “of </w:t>
      </w:r>
      <w:r>
        <w:t>beings” (</w:t>
      </w:r>
      <w:r>
        <w:rPr>
          <w:lang w:val="el-GR"/>
        </w:rPr>
        <w:t>τῶν</w:t>
      </w:r>
      <w:r w:rsidRPr="006C2928">
        <w:t xml:space="preserve"> </w:t>
      </w:r>
      <w:r>
        <w:rPr>
          <w:lang w:val="el-GR"/>
        </w:rPr>
        <w:t>ὄντων</w:t>
      </w:r>
      <w:r>
        <w:t>), once we reach Pseudo-Dionysius a century or so later, we encounter a thoroughgoing criticism of any attempt to speak of God as being o</w:t>
      </w:r>
      <w:r w:rsidR="00334F60">
        <w:t>r a being. Drawing on Plotinus and Proclus,</w:t>
      </w:r>
      <w:r>
        <w:t xml:space="preserve"> Pseudo-Dionysius insists that God, as the cause of being, is beyond even intelligible being. Of course, one should not overemphasize the gap between Gregory and Pseudo-Dionysius, since Gregory’s </w:t>
      </w:r>
      <w:proofErr w:type="spellStart"/>
      <w:r>
        <w:t>apophaticism</w:t>
      </w:r>
      <w:proofErr w:type="spellEnd"/>
      <w:r>
        <w:t xml:space="preserve"> and </w:t>
      </w:r>
      <w:r w:rsidR="000F4EBF">
        <w:t>his portrait</w:t>
      </w:r>
      <w:r>
        <w:t xml:space="preserve"> of the divine d</w:t>
      </w:r>
      <w:r w:rsidR="000F4EBF">
        <w:t xml:space="preserve">arkness were </w:t>
      </w:r>
      <w:r w:rsidR="00C22115">
        <w:t>t</w:t>
      </w:r>
      <w:r>
        <w:t>ouchstone</w:t>
      </w:r>
      <w:r w:rsidR="000F4EBF">
        <w:t xml:space="preserve">s </w:t>
      </w:r>
      <w:r w:rsidR="00AB0DC0">
        <w:t>of Dionysian</w:t>
      </w:r>
      <w:r>
        <w:t xml:space="preserve"> theology. More</w:t>
      </w:r>
      <w:r w:rsidR="00334F60">
        <w:t>over</w:t>
      </w:r>
      <w:r>
        <w:t>, Pseudo-Dionysius continues to accept the in</w:t>
      </w:r>
      <w:r w:rsidR="00334F60">
        <w:t>telligible–sensible distinction; h</w:t>
      </w:r>
      <w:r>
        <w:t>e merely denies that God is either logically or o</w:t>
      </w:r>
      <w:r w:rsidR="00C938D4">
        <w:t>nto</w:t>
      </w:r>
      <w:r w:rsidR="00334F60">
        <w:t>logicall</w:t>
      </w:r>
      <w:r w:rsidR="00036AD8">
        <w:t>y encompassed by it. H</w:t>
      </w:r>
      <w:r w:rsidR="001D3653">
        <w:t>e is not entir</w:t>
      </w:r>
      <w:r w:rsidR="00036AD8">
        <w:t xml:space="preserve">ely discontinuous with Gregory, but he does move beyond him in </w:t>
      </w:r>
      <w:r w:rsidR="001D3653">
        <w:t xml:space="preserve">arguing that </w:t>
      </w:r>
      <w:r>
        <w:t>God</w:t>
      </w:r>
      <w:r w:rsidR="001D3653">
        <w:t xml:space="preserve"> transcends</w:t>
      </w:r>
      <w:r>
        <w:t xml:space="preserve"> the category of substance </w:t>
      </w:r>
      <w:r w:rsidR="001D3653">
        <w:t>itself</w:t>
      </w:r>
      <w:r w:rsidR="00036AD8">
        <w:t xml:space="preserve">. Yet, the key point for the present chapter is that </w:t>
      </w:r>
      <w:r w:rsidR="001D3653">
        <w:t xml:space="preserve">even this move evinces </w:t>
      </w:r>
      <w:r>
        <w:t>increased influence of contemporary Platonism on Christian thought ra</w:t>
      </w:r>
      <w:r w:rsidR="00AA2A34">
        <w:t>ther than a break with it</w:t>
      </w:r>
      <w:r>
        <w:t xml:space="preserve">. </w:t>
      </w:r>
      <w:r w:rsidR="00476C07">
        <w:t xml:space="preserve"> </w:t>
      </w:r>
    </w:p>
    <w:p w:rsidR="00916F26" w:rsidRDefault="00916F26" w:rsidP="00916F26">
      <w:pPr>
        <w:spacing w:line="480" w:lineRule="auto"/>
      </w:pPr>
      <w:bookmarkStart w:id="0" w:name="_GoBack"/>
      <w:bookmarkEnd w:id="0"/>
    </w:p>
    <w:p w:rsidR="008011DD" w:rsidRDefault="00947452" w:rsidP="00B90FE6">
      <w:pPr>
        <w:spacing w:line="480" w:lineRule="auto"/>
        <w:rPr>
          <w:i/>
        </w:rPr>
      </w:pPr>
      <w:r>
        <w:rPr>
          <w:i/>
        </w:rPr>
        <w:t xml:space="preserve">Varieties of </w:t>
      </w:r>
      <w:r w:rsidR="00B90FE6">
        <w:rPr>
          <w:i/>
        </w:rPr>
        <w:t>Trinity and P</w:t>
      </w:r>
      <w:r>
        <w:rPr>
          <w:i/>
        </w:rPr>
        <w:t>latonism</w:t>
      </w:r>
      <w:r w:rsidR="00036AD8">
        <w:rPr>
          <w:i/>
        </w:rPr>
        <w:t>: The Metaphysics of Participation</w:t>
      </w:r>
      <w:r w:rsidR="008011DD">
        <w:rPr>
          <w:i/>
        </w:rPr>
        <w:t xml:space="preserve"> </w:t>
      </w:r>
    </w:p>
    <w:p w:rsidR="00B90FE6" w:rsidRPr="008011DD" w:rsidRDefault="008011DD" w:rsidP="00B90FE6">
      <w:pPr>
        <w:spacing w:line="480" w:lineRule="auto"/>
      </w:pPr>
      <w:r>
        <w:t>[*THIS SECTION WILL LIKELY BE TRIMMED*]</w:t>
      </w:r>
    </w:p>
    <w:p w:rsidR="008940DB" w:rsidRDefault="00036AD8" w:rsidP="00B90FE6">
      <w:pPr>
        <w:spacing w:line="480" w:lineRule="auto"/>
      </w:pPr>
      <w:r>
        <w:t xml:space="preserve">If </w:t>
      </w:r>
      <w:r w:rsidR="00947452">
        <w:t xml:space="preserve">Christian </w:t>
      </w:r>
      <w:proofErr w:type="spellStart"/>
      <w:r w:rsidR="00947452">
        <w:t>Trinitarianism</w:t>
      </w:r>
      <w:proofErr w:type="spellEnd"/>
      <w:r w:rsidR="00947452">
        <w:t xml:space="preserve"> </w:t>
      </w:r>
      <w:r w:rsidR="001D3653">
        <w:t>w</w:t>
      </w:r>
      <w:r w:rsidR="00947452">
        <w:t>as integrally linked with but not reducible to Platonism</w:t>
      </w:r>
      <w:r w:rsidR="00476C07">
        <w:t>, it is also true</w:t>
      </w:r>
      <w:r w:rsidR="001D3653">
        <w:t xml:space="preserve"> </w:t>
      </w:r>
      <w:r w:rsidR="00947452">
        <w:t>Platonist principles could be employed within quite distinct Trinitarian theologies.</w:t>
      </w:r>
      <w:r w:rsidR="00191DD8">
        <w:t xml:space="preserve"> A sympathetic portrait of Christian-Platonist </w:t>
      </w:r>
      <w:proofErr w:type="spellStart"/>
      <w:r w:rsidR="00191DD8">
        <w:t>Trinitarianism</w:t>
      </w:r>
      <w:proofErr w:type="spellEnd"/>
      <w:r w:rsidR="00191DD8">
        <w:t xml:space="preserve"> ought to be sensitive to this variety.</w:t>
      </w:r>
      <w:r w:rsidR="00947452">
        <w:t xml:space="preserve"> </w:t>
      </w:r>
      <w:r w:rsidR="006C2F51">
        <w:t xml:space="preserve">One </w:t>
      </w:r>
      <w:r w:rsidR="00191DD8">
        <w:t xml:space="preserve">Platonist principle that was </w:t>
      </w:r>
      <w:r w:rsidR="00947452">
        <w:t>adopted by several Christians</w:t>
      </w:r>
      <w:r w:rsidR="00191DD8">
        <w:t xml:space="preserve"> had to do with the </w:t>
      </w:r>
      <w:r w:rsidR="00947452">
        <w:t xml:space="preserve">metaphysics of participation. Far from determining their thought, however, the principle was fitted into various Trinitarian schemes. This section will outline the use of participation in four distinct </w:t>
      </w:r>
      <w:r w:rsidR="008940DB">
        <w:t xml:space="preserve">stages of </w:t>
      </w:r>
      <w:r w:rsidR="00947452">
        <w:t>T</w:t>
      </w:r>
      <w:r w:rsidR="008940DB">
        <w:t xml:space="preserve">rinitarian theology: </w:t>
      </w:r>
      <w:r w:rsidR="00191DD8">
        <w:t xml:space="preserve">in </w:t>
      </w:r>
      <w:r w:rsidR="008940DB">
        <w:t xml:space="preserve">Origen, </w:t>
      </w:r>
      <w:r w:rsidR="00191DD8">
        <w:t xml:space="preserve">in </w:t>
      </w:r>
      <w:r w:rsidR="008940DB">
        <w:t xml:space="preserve">a trio of early pro–Nicene authors, </w:t>
      </w:r>
      <w:r w:rsidR="00191DD8">
        <w:t xml:space="preserve">in </w:t>
      </w:r>
      <w:r w:rsidR="008940DB">
        <w:t xml:space="preserve">Gregory of Nyssa, and </w:t>
      </w:r>
      <w:r w:rsidR="00191DD8">
        <w:t xml:space="preserve">in </w:t>
      </w:r>
      <w:r w:rsidR="008940DB">
        <w:t>Pseudo-Dionysius</w:t>
      </w:r>
      <w:r w:rsidR="00947452">
        <w:t xml:space="preserve">. </w:t>
      </w:r>
    </w:p>
    <w:p w:rsidR="00E83804" w:rsidRPr="009422D7" w:rsidRDefault="00F2629F" w:rsidP="00121E63">
      <w:pPr>
        <w:tabs>
          <w:tab w:val="left" w:pos="90"/>
        </w:tabs>
        <w:spacing w:line="480" w:lineRule="auto"/>
      </w:pPr>
      <w:r>
        <w:tab/>
      </w:r>
      <w:r>
        <w:tab/>
      </w:r>
      <w:r w:rsidR="00947452">
        <w:t xml:space="preserve">First, </w:t>
      </w:r>
      <w:r w:rsidR="00E77618">
        <w:t>then</w:t>
      </w:r>
      <w:r w:rsidR="00B10E92">
        <w:t>,</w:t>
      </w:r>
      <w:r w:rsidR="00E77618">
        <w:t xml:space="preserve"> </w:t>
      </w:r>
      <w:r w:rsidR="00B10E92">
        <w:t>a brief remark on</w:t>
      </w:r>
      <w:r w:rsidR="00E77618">
        <w:t xml:space="preserve"> </w:t>
      </w:r>
      <w:r w:rsidR="00947452">
        <w:t xml:space="preserve">Origen. </w:t>
      </w:r>
      <w:r w:rsidR="000477DA">
        <w:t>Origen’s use of the language of participation within his Trini</w:t>
      </w:r>
      <w:r w:rsidR="008940DB">
        <w:t>tarian theology raises certain</w:t>
      </w:r>
      <w:r w:rsidR="000477DA">
        <w:t xml:space="preserve"> questions we cannot address here.</w:t>
      </w:r>
      <w:r w:rsidR="000477DA">
        <w:rPr>
          <w:rStyle w:val="FootnoteReference"/>
        </w:rPr>
        <w:footnoteReference w:id="67"/>
      </w:r>
      <w:r w:rsidR="000477DA">
        <w:t xml:space="preserve"> It will satisfy our purposes to glance at </w:t>
      </w:r>
      <w:r w:rsidR="00CF259F">
        <w:t>a section of his</w:t>
      </w:r>
      <w:r w:rsidR="000477DA">
        <w:t xml:space="preserve"> </w:t>
      </w:r>
      <w:r w:rsidR="000477DA">
        <w:rPr>
          <w:i/>
        </w:rPr>
        <w:t>Commentary on John</w:t>
      </w:r>
      <w:r w:rsidR="004216C9">
        <w:t xml:space="preserve"> which comments </w:t>
      </w:r>
      <w:r w:rsidR="00E83804">
        <w:t xml:space="preserve">on John 1:1: “In the beginning was </w:t>
      </w:r>
      <w:r w:rsidR="00E83804">
        <w:rPr>
          <w:i/>
        </w:rPr>
        <w:t>the</w:t>
      </w:r>
      <w:r w:rsidR="00E83804">
        <w:t xml:space="preserve"> Word (</w:t>
      </w:r>
      <w:r w:rsidR="00E83804">
        <w:rPr>
          <w:lang w:val="el-GR"/>
        </w:rPr>
        <w:t>ὁ</w:t>
      </w:r>
      <w:r w:rsidR="00E83804" w:rsidRPr="00E83804">
        <w:t xml:space="preserve"> </w:t>
      </w:r>
      <w:r w:rsidR="00E83804">
        <w:rPr>
          <w:lang w:val="el-GR"/>
        </w:rPr>
        <w:t>λόγος</w:t>
      </w:r>
      <w:r w:rsidR="00E83804" w:rsidRPr="00E83804">
        <w:t>)</w:t>
      </w:r>
      <w:r w:rsidR="00E83804">
        <w:t xml:space="preserve"> and the Word (</w:t>
      </w:r>
      <w:r w:rsidR="00E83804">
        <w:rPr>
          <w:lang w:val="el-GR"/>
        </w:rPr>
        <w:t>ὁ</w:t>
      </w:r>
      <w:r w:rsidR="00E83804" w:rsidRPr="00E83804">
        <w:t xml:space="preserve"> </w:t>
      </w:r>
      <w:r w:rsidR="00E83804">
        <w:rPr>
          <w:lang w:val="el-GR"/>
        </w:rPr>
        <w:t>λόγος</w:t>
      </w:r>
      <w:r w:rsidR="00E83804">
        <w:t xml:space="preserve">) was with </w:t>
      </w:r>
      <w:r w:rsidR="00E83804" w:rsidRPr="00E83804">
        <w:rPr>
          <w:i/>
        </w:rPr>
        <w:t>the</w:t>
      </w:r>
      <w:r w:rsidR="00E83804">
        <w:t xml:space="preserve"> God (</w:t>
      </w:r>
      <w:r w:rsidR="00E83804">
        <w:rPr>
          <w:lang w:val="el-GR"/>
        </w:rPr>
        <w:t>πρὸς</w:t>
      </w:r>
      <w:r w:rsidR="00E83804" w:rsidRPr="00E83804">
        <w:t xml:space="preserve"> </w:t>
      </w:r>
      <w:r w:rsidR="00E83804">
        <w:rPr>
          <w:lang w:val="el-GR"/>
        </w:rPr>
        <w:t>τὸν</w:t>
      </w:r>
      <w:r w:rsidR="00E83804" w:rsidRPr="00E83804">
        <w:t xml:space="preserve"> </w:t>
      </w:r>
      <w:r w:rsidR="00E83804">
        <w:rPr>
          <w:lang w:val="el-GR"/>
        </w:rPr>
        <w:t>θεόν</w:t>
      </w:r>
      <w:r w:rsidR="00E83804">
        <w:t>), and the Word (</w:t>
      </w:r>
      <w:r w:rsidR="00E83804">
        <w:rPr>
          <w:lang w:val="el-GR"/>
        </w:rPr>
        <w:t>ὁ</w:t>
      </w:r>
      <w:r w:rsidR="00E83804" w:rsidRPr="00E83804">
        <w:t xml:space="preserve"> </w:t>
      </w:r>
      <w:r w:rsidR="00E83804">
        <w:rPr>
          <w:lang w:val="el-GR"/>
        </w:rPr>
        <w:t>λόγος</w:t>
      </w:r>
      <w:r w:rsidR="00E83804">
        <w:t>) was God (</w:t>
      </w:r>
      <w:r w:rsidR="00E83804">
        <w:rPr>
          <w:lang w:val="el-GR"/>
        </w:rPr>
        <w:t>θεός</w:t>
      </w:r>
      <w:r w:rsidR="00191DD8">
        <w:t>).” A question arises over</w:t>
      </w:r>
      <w:r w:rsidR="00E83804">
        <w:t xml:space="preserve"> the presence or absence of t</w:t>
      </w:r>
      <w:r w:rsidR="004216C9">
        <w:t>he article before Logos and God.</w:t>
      </w:r>
      <w:r w:rsidR="00E83804">
        <w:t xml:space="preserve"> Origen assumes that the shift from </w:t>
      </w:r>
      <w:r w:rsidR="00E83804">
        <w:rPr>
          <w:i/>
        </w:rPr>
        <w:t xml:space="preserve">the </w:t>
      </w:r>
      <w:r w:rsidR="00E83804">
        <w:t>God to God is deliberate and sig</w:t>
      </w:r>
      <w:r w:rsidR="004216C9">
        <w:t>nificant. His explanation</w:t>
      </w:r>
      <w:r w:rsidR="00E83804">
        <w:t xml:space="preserve"> involves participatory metaphysics: “For as the God who is over all is ‘</w:t>
      </w:r>
      <w:r w:rsidR="00E83804">
        <w:rPr>
          <w:i/>
        </w:rPr>
        <w:t>the</w:t>
      </w:r>
      <w:r w:rsidR="00E83804">
        <w:t xml:space="preserve"> God’ and not simply ‘God,’ so the source of reason (</w:t>
      </w:r>
      <w:r w:rsidR="00C422C3">
        <w:rPr>
          <w:lang w:val="el-GR"/>
        </w:rPr>
        <w:t>λόγου</w:t>
      </w:r>
      <w:r w:rsidR="00E83804">
        <w:t>), in each rational being is ‘</w:t>
      </w:r>
      <w:r w:rsidR="00E83804">
        <w:rPr>
          <w:i/>
        </w:rPr>
        <w:t xml:space="preserve">the </w:t>
      </w:r>
      <w:r w:rsidR="00E83804">
        <w:t>Word’.”</w:t>
      </w:r>
      <w:r w:rsidR="00E83804">
        <w:rPr>
          <w:rStyle w:val="FootnoteReference"/>
        </w:rPr>
        <w:footnoteReference w:id="68"/>
      </w:r>
      <w:r w:rsidR="009713FD">
        <w:t xml:space="preserve"> </w:t>
      </w:r>
      <w:r w:rsidR="00191DD8">
        <w:t xml:space="preserve">The definite article tells the reader that we are dealing with whatever it is that </w:t>
      </w:r>
      <w:r w:rsidR="00191DD8">
        <w:lastRenderedPageBreak/>
        <w:t xml:space="preserve">causes the perfection in question, without itself receiving it from a higher source: </w:t>
      </w:r>
      <w:r w:rsidR="009713FD">
        <w:t>“Everything besides the very God</w:t>
      </w:r>
      <w:r w:rsidR="00C422C3" w:rsidRPr="00C422C3">
        <w:t xml:space="preserve"> (</w:t>
      </w:r>
      <w:r w:rsidR="00C422C3">
        <w:rPr>
          <w:lang w:val="el-GR"/>
        </w:rPr>
        <w:t>τὸ</w:t>
      </w:r>
      <w:r w:rsidR="00C422C3" w:rsidRPr="00C422C3">
        <w:t xml:space="preserve"> </w:t>
      </w:r>
      <w:r w:rsidR="00C422C3">
        <w:rPr>
          <w:lang w:val="el-GR"/>
        </w:rPr>
        <w:t>αὐτόθεος</w:t>
      </w:r>
      <w:r w:rsidR="00C422C3" w:rsidRPr="00C422C3">
        <w:t>)</w:t>
      </w:r>
      <w:r w:rsidR="009713FD">
        <w:t xml:space="preserve">, which is made God by </w:t>
      </w:r>
      <w:r w:rsidR="00C422C3">
        <w:t>participation in his divinity (</w:t>
      </w:r>
      <w:proofErr w:type="spellStart"/>
      <w:r w:rsidR="00C422C3">
        <w:t>θε</w:t>
      </w:r>
      <w:proofErr w:type="spellEnd"/>
      <w:r w:rsidR="00C422C3">
        <w:rPr>
          <w:lang w:val="el-GR"/>
        </w:rPr>
        <w:t>ότητος</w:t>
      </w:r>
      <w:r w:rsidR="009713FD">
        <w:t>), would more properly not be said to be ‘</w:t>
      </w:r>
      <w:r w:rsidR="009713FD">
        <w:rPr>
          <w:i/>
        </w:rPr>
        <w:t>the</w:t>
      </w:r>
      <w:r w:rsidR="009713FD">
        <w:t xml:space="preserve"> God,’ but ‘God.’”</w:t>
      </w:r>
      <w:r w:rsidR="009713FD">
        <w:rPr>
          <w:rStyle w:val="FootnoteReference"/>
        </w:rPr>
        <w:footnoteReference w:id="69"/>
      </w:r>
      <w:r w:rsidR="009713FD">
        <w:t xml:space="preserve"> </w:t>
      </w:r>
      <w:r w:rsidR="00191DD8">
        <w:t xml:space="preserve">The two perfections, divinity and reason, are analogous, and their explanation requires to principles: </w:t>
      </w:r>
      <w:r w:rsidR="009713FD">
        <w:t>“The reason which is in each rational being has the same position in relation to the Word which is in the beginning with God, which is God the Word, which God the Word has with God . . . For both hold the place of a source; the Father, that of divinity, the Son, that of reason.”</w:t>
      </w:r>
      <w:r w:rsidR="009713FD">
        <w:rPr>
          <w:rStyle w:val="FootnoteReference"/>
        </w:rPr>
        <w:footnoteReference w:id="70"/>
      </w:r>
      <w:r w:rsidR="00191DD8">
        <w:t xml:space="preserve"> Thus there is a relationship of participation between the Word and God and not merely between the two, on one hand, and the created world, on the other. </w:t>
      </w:r>
      <w:r w:rsidR="000518B3">
        <w:t>Somewhat similarly, in a famous passage from</w:t>
      </w:r>
      <w:r w:rsidR="009422D7">
        <w:t xml:space="preserve"> </w:t>
      </w:r>
      <w:r w:rsidR="009422D7">
        <w:rPr>
          <w:i/>
        </w:rPr>
        <w:t>On First Principles</w:t>
      </w:r>
      <w:r w:rsidR="000518B3">
        <w:t xml:space="preserve">, Origen states that any creature that is holy is so by participation in the Holy Spirit; any creature that is rational is so by partaking in the Logos; and any creatures that has being does so by participating in the Father. </w:t>
      </w:r>
      <w:r w:rsidR="00300862">
        <w:t xml:space="preserve">Similar to the </w:t>
      </w:r>
      <w:r w:rsidR="00300862">
        <w:rPr>
          <w:i/>
        </w:rPr>
        <w:t>Commentary on John</w:t>
      </w:r>
      <w:r w:rsidR="00300862">
        <w:t xml:space="preserve">, Origen here envisions distinct relations of participation with the three hypostases. Differently from the </w:t>
      </w:r>
      <w:r w:rsidR="00300862">
        <w:rPr>
          <w:i/>
        </w:rPr>
        <w:t>Commentary</w:t>
      </w:r>
      <w:r w:rsidR="00300862">
        <w:t xml:space="preserve">, he does not speak of the Son or Spirit participating in the Father’s divinity, or at least not in the version we have from </w:t>
      </w:r>
      <w:proofErr w:type="spellStart"/>
      <w:r w:rsidR="00300862">
        <w:t>Rufinus</w:t>
      </w:r>
      <w:proofErr w:type="spellEnd"/>
      <w:r w:rsidR="00300862">
        <w:t xml:space="preserve">. </w:t>
      </w:r>
      <w:r w:rsidR="000518B3">
        <w:t xml:space="preserve"> </w:t>
      </w:r>
    </w:p>
    <w:p w:rsidR="00B10E92" w:rsidRDefault="00947452" w:rsidP="004C71CF">
      <w:pPr>
        <w:spacing w:line="480" w:lineRule="auto"/>
      </w:pPr>
      <w:r>
        <w:tab/>
      </w:r>
      <w:r w:rsidR="00191DD8">
        <w:t xml:space="preserve">Origen’s idea of “intra-Trinitarian” participation would drop out in our second stage. Yet </w:t>
      </w:r>
      <w:r>
        <w:t xml:space="preserve">we </w:t>
      </w:r>
      <w:r w:rsidR="00191DD8">
        <w:t xml:space="preserve">still </w:t>
      </w:r>
      <w:r>
        <w:t>see a common argument regarding participatio</w:t>
      </w:r>
      <w:r w:rsidR="004C71CF">
        <w:t>n emerging in the texts of various</w:t>
      </w:r>
      <w:r>
        <w:t xml:space="preserve"> supporte</w:t>
      </w:r>
      <w:r w:rsidR="004216C9">
        <w:t>rs of Nicaea from around 360 through the mid-370s</w:t>
      </w:r>
      <w:r w:rsidR="004C71CF">
        <w:t xml:space="preserve">; here we can cite Athanasius, </w:t>
      </w:r>
      <w:proofErr w:type="spellStart"/>
      <w:r w:rsidR="004C71CF">
        <w:t>Didymus</w:t>
      </w:r>
      <w:proofErr w:type="spellEnd"/>
      <w:r w:rsidR="004C71CF">
        <w:t>, and Basil</w:t>
      </w:r>
      <w:r>
        <w:t xml:space="preserve">. For </w:t>
      </w:r>
      <w:r w:rsidR="004C71CF">
        <w:t xml:space="preserve">these </w:t>
      </w:r>
      <w:r>
        <w:t>pro-</w:t>
      </w:r>
      <w:proofErr w:type="spellStart"/>
      <w:r>
        <w:t>Nicenes</w:t>
      </w:r>
      <w:proofErr w:type="spellEnd"/>
      <w:r>
        <w:t>, a corollary of thinking of the Son or Spirit as divine is denying that either participates in any superordinate principle.</w:t>
      </w:r>
      <w:r w:rsidR="004C71CF">
        <w:t xml:space="preserve"> We can begin with A</w:t>
      </w:r>
      <w:r w:rsidR="00B10E92">
        <w:t xml:space="preserve">thanasius’s </w:t>
      </w:r>
      <w:r w:rsidR="00B10E92">
        <w:rPr>
          <w:i/>
        </w:rPr>
        <w:t xml:space="preserve">De </w:t>
      </w:r>
      <w:proofErr w:type="spellStart"/>
      <w:r w:rsidR="00B10E92">
        <w:rPr>
          <w:i/>
        </w:rPr>
        <w:t>synodis</w:t>
      </w:r>
      <w:proofErr w:type="spellEnd"/>
      <w:r w:rsidR="004216C9">
        <w:t>, written around 359</w:t>
      </w:r>
      <w:r w:rsidR="00B10E92">
        <w:t>:</w:t>
      </w:r>
    </w:p>
    <w:p w:rsidR="00B10E92" w:rsidRDefault="00B10E92" w:rsidP="00B10E92">
      <w:pPr>
        <w:spacing w:line="480" w:lineRule="auto"/>
        <w:ind w:left="1440"/>
      </w:pPr>
      <w:r>
        <w:lastRenderedPageBreak/>
        <w:t xml:space="preserve"> And moreover, if, as we said, the Son does not exist by participation (</w:t>
      </w:r>
      <w:r>
        <w:rPr>
          <w:lang w:val="el-GR"/>
        </w:rPr>
        <w:t>ἐκ</w:t>
      </w:r>
      <w:r w:rsidRPr="00A92FB3">
        <w:t xml:space="preserve"> </w:t>
      </w:r>
      <w:r>
        <w:rPr>
          <w:lang w:val="el-GR"/>
        </w:rPr>
        <w:t>μετουσίας</w:t>
      </w:r>
      <w:r>
        <w:t>)—rather, while all generated things have grace from God by participation, he is the Wisdom and Word of the Father in whom all things partake—then clearly he is the deifying and illuminating power (τ</w:t>
      </w:r>
      <w:r>
        <w:rPr>
          <w:lang w:val="el-GR"/>
        </w:rPr>
        <w:t>ὸ</w:t>
      </w:r>
      <w:r w:rsidRPr="00A92FB3">
        <w:t xml:space="preserve"> </w:t>
      </w:r>
      <w:r>
        <w:rPr>
          <w:lang w:val="el-GR"/>
        </w:rPr>
        <w:t>θεοποιὸν</w:t>
      </w:r>
      <w:r w:rsidRPr="00A92FB3">
        <w:t xml:space="preserve"> </w:t>
      </w:r>
      <w:r>
        <w:rPr>
          <w:lang w:val="el-GR"/>
        </w:rPr>
        <w:t>καὶ</w:t>
      </w:r>
      <w:r w:rsidRPr="00A92FB3">
        <w:t xml:space="preserve"> </w:t>
      </w:r>
      <w:r>
        <w:rPr>
          <w:lang w:val="el-GR"/>
        </w:rPr>
        <w:t>φωτιστικόν</w:t>
      </w:r>
      <w:r>
        <w:t>) of the Father, in which all things are deified and given life, he is not foreign-in-substance (</w:t>
      </w:r>
      <w:r>
        <w:rPr>
          <w:lang w:val="el-GR"/>
        </w:rPr>
        <w:t>ἀλλοτριοούσιος</w:t>
      </w:r>
      <w:r>
        <w:t>) to the Father but same-in-substance (</w:t>
      </w:r>
      <w:r>
        <w:rPr>
          <w:lang w:val="el-GR"/>
        </w:rPr>
        <w:t>ὁμοούσιος</w:t>
      </w:r>
      <w:r>
        <w:t>).</w:t>
      </w:r>
      <w:r>
        <w:rPr>
          <w:rStyle w:val="FootnoteReference"/>
        </w:rPr>
        <w:footnoteReference w:id="71"/>
      </w:r>
      <w:r>
        <w:t xml:space="preserve"> </w:t>
      </w:r>
    </w:p>
    <w:p w:rsidR="00B10E92" w:rsidRPr="00C25376" w:rsidRDefault="00F55A4B" w:rsidP="00B10E92">
      <w:pPr>
        <w:spacing w:line="480" w:lineRule="auto"/>
      </w:pPr>
      <w:r>
        <w:t xml:space="preserve">While it would be a mistake to say that Athanasius came to accept the </w:t>
      </w:r>
      <w:proofErr w:type="spellStart"/>
      <w:r>
        <w:t>homoousion</w:t>
      </w:r>
      <w:proofErr w:type="spellEnd"/>
      <w:r>
        <w:t xml:space="preserve"> </w:t>
      </w:r>
      <w:r>
        <w:rPr>
          <w:i/>
        </w:rPr>
        <w:t>because</w:t>
      </w:r>
      <w:r>
        <w:t xml:space="preserve"> of the principle that the Son is participate</w:t>
      </w:r>
      <w:r w:rsidR="0068381B">
        <w:t>d but does not participate, the</w:t>
      </w:r>
      <w:r>
        <w:t xml:space="preserve"> sentence </w:t>
      </w:r>
      <w:r w:rsidR="0068381B">
        <w:t xml:space="preserve">just quoted </w:t>
      </w:r>
      <w:r>
        <w:t>does present the creedal confession as following from that principle.</w:t>
      </w:r>
      <w:r w:rsidR="004C71CF">
        <w:t xml:space="preserve"> </w:t>
      </w:r>
      <w:r w:rsidR="00B10E92">
        <w:t xml:space="preserve">In his roughly contemporaneous </w:t>
      </w:r>
      <w:r w:rsidR="00B10E92">
        <w:rPr>
          <w:i/>
        </w:rPr>
        <w:t xml:space="preserve">Letters to </w:t>
      </w:r>
      <w:proofErr w:type="spellStart"/>
      <w:r w:rsidR="00B10E92">
        <w:rPr>
          <w:i/>
        </w:rPr>
        <w:t>Serapion</w:t>
      </w:r>
      <w:proofErr w:type="spellEnd"/>
      <w:r w:rsidR="00B10E92">
        <w:t>, Athanasius applies the same logic to the Holy Spirit. After affirming that creatures are “given life” in the Spirit, Athanasius specifies that the Spirit “does not participate in life, but is himself participated in” and is thus ontologically distinct from creatures.</w:t>
      </w:r>
      <w:r w:rsidR="00B10E92">
        <w:rPr>
          <w:rStyle w:val="FootnoteReference"/>
        </w:rPr>
        <w:footnoteReference w:id="72"/>
      </w:r>
      <w:r w:rsidR="00B10E92">
        <w:t xml:space="preserve"> </w:t>
      </w:r>
    </w:p>
    <w:p w:rsidR="00B10E92" w:rsidRDefault="00F55A4B" w:rsidP="00B10E92">
      <w:pPr>
        <w:spacing w:line="480" w:lineRule="auto"/>
        <w:ind w:firstLine="720"/>
      </w:pPr>
      <w:proofErr w:type="spellStart"/>
      <w:r>
        <w:t>Didymus</w:t>
      </w:r>
      <w:proofErr w:type="spellEnd"/>
      <w:r>
        <w:t xml:space="preserve"> the Blind likewise</w:t>
      </w:r>
      <w:r w:rsidR="00B10E92">
        <w:t xml:space="preserve"> appeals to the premise to show the Spirit’s full divinity in </w:t>
      </w:r>
      <w:r w:rsidR="00B10E92">
        <w:rPr>
          <w:i/>
        </w:rPr>
        <w:t>On the Holy Spirit</w:t>
      </w:r>
      <w:r w:rsidR="004216C9">
        <w:t xml:space="preserve"> (360–65</w:t>
      </w:r>
      <w:r w:rsidR="00B10E92">
        <w:t>), a work that survives only in Jerome’s Latin translation.</w:t>
      </w:r>
    </w:p>
    <w:p w:rsidR="00B10E92" w:rsidRDefault="00B10E92" w:rsidP="00B10E92">
      <w:pPr>
        <w:spacing w:line="480" w:lineRule="auto"/>
        <w:ind w:left="1440"/>
      </w:pPr>
      <w:r>
        <w:t>. . . [E]</w:t>
      </w:r>
      <w:proofErr w:type="spellStart"/>
      <w:r>
        <w:t>verything</w:t>
      </w:r>
      <w:proofErr w:type="spellEnd"/>
      <w:r>
        <w:t xml:space="preserve"> which is capable of participating in the good of another is separated from this substance [of God]. All such realities are creatures. Now because he is good, God is the source and principle of all goods. Therefore he makes good those to whom he imparts himself; he is not made good by another, but is good. Hence it is possible to participate in him but not for him to participate. Furthermore, his only-begotten Son is Wisdom (1 </w:t>
      </w:r>
      <w:proofErr w:type="spellStart"/>
      <w:r>
        <w:t>Cor</w:t>
      </w:r>
      <w:proofErr w:type="spellEnd"/>
      <w:r>
        <w:t xml:space="preserve"> 1:24) and </w:t>
      </w:r>
      <w:r>
        <w:lastRenderedPageBreak/>
        <w:t>sanctification; he does not become wise but makes wise, and he is not sanctified but sanctifies. For this reason too it is possible to participate in him but not for him to participate . . . Let us once more consider the Holy Spirit: if he too is actually holy through participation in another’s sanctity, then he should be classed with the rest of creatures. But if he sanctifies those who are capable of participating in him, then he should be placed with the Father and the</w:t>
      </w:r>
      <w:r w:rsidR="0068381B">
        <w:t xml:space="preserve"> Son . . . [T]he Holy Spirit can be participated in and can</w:t>
      </w:r>
      <w:r>
        <w:t>not participate in others.</w:t>
      </w:r>
      <w:r>
        <w:rPr>
          <w:rStyle w:val="FootnoteReference"/>
        </w:rPr>
        <w:footnoteReference w:id="73"/>
      </w:r>
    </w:p>
    <w:p w:rsidR="00B10E92" w:rsidRDefault="00B10E92" w:rsidP="00B10E92">
      <w:pPr>
        <w:spacing w:line="480" w:lineRule="auto"/>
      </w:pPr>
      <w:proofErr w:type="spellStart"/>
      <w:r>
        <w:t>Did</w:t>
      </w:r>
      <w:r w:rsidR="00450581">
        <w:t>ymus</w:t>
      </w:r>
      <w:proofErr w:type="spellEnd"/>
      <w:r w:rsidR="00450581">
        <w:t xml:space="preserve"> stipulates that</w:t>
      </w:r>
      <w:r>
        <w:t xml:space="preserve"> if something is capable of participating in another—that is, in a superordinate principle—it must be a creature, and if some subject is participated but does not participate in any superordinate principle, it must </w:t>
      </w:r>
      <w:r w:rsidR="00EC1B8E">
        <w:t>not be a creature</w:t>
      </w:r>
      <w:r>
        <w:t xml:space="preserve">. </w:t>
      </w:r>
      <w:r w:rsidR="00EC1B8E">
        <w:t>The Spirit is what makes holy without itself being made holy by participation; hence, it is ranked with the Father</w:t>
      </w:r>
      <w:r w:rsidR="0068381B">
        <w:t>—called “God” in the passage—</w:t>
      </w:r>
      <w:r w:rsidR="00EC1B8E">
        <w:t>and the Son</w:t>
      </w:r>
      <w:r w:rsidR="00450581">
        <w:t xml:space="preserve">. </w:t>
      </w:r>
      <w:proofErr w:type="spellStart"/>
      <w:r w:rsidR="00450581">
        <w:t>Didymus</w:t>
      </w:r>
      <w:proofErr w:type="spellEnd"/>
      <w:r w:rsidR="00450581">
        <w:t xml:space="preserve"> thereby supplies content for understanding the</w:t>
      </w:r>
      <w:r>
        <w:t xml:space="preserve"> uncreated–created distinction</w:t>
      </w:r>
      <w:r w:rsidR="00450581">
        <w:t xml:space="preserve">, as he identifies it with the </w:t>
      </w:r>
      <w:r w:rsidR="00F0740D">
        <w:t>relationship</w:t>
      </w:r>
      <w:r w:rsidR="00450581">
        <w:t xml:space="preserve"> between </w:t>
      </w:r>
      <w:r w:rsidR="00F0740D">
        <w:t xml:space="preserve">holiness in </w:t>
      </w:r>
      <w:r w:rsidR="00450581">
        <w:t>the uncaused cause of holiness and</w:t>
      </w:r>
      <w:r w:rsidR="00F0740D">
        <w:t xml:space="preserve"> in</w:t>
      </w:r>
      <w:r w:rsidR="00450581">
        <w:t xml:space="preserve"> </w:t>
      </w:r>
      <w:r w:rsidR="00F0740D">
        <w:t>those who participate in it.</w:t>
      </w:r>
    </w:p>
    <w:p w:rsidR="00B10E92" w:rsidRDefault="00B10E92" w:rsidP="00B10E92">
      <w:pPr>
        <w:spacing w:line="480" w:lineRule="auto"/>
        <w:ind w:firstLine="720"/>
      </w:pPr>
      <w:r>
        <w:t xml:space="preserve">In his first major theological work, </w:t>
      </w:r>
      <w:r>
        <w:rPr>
          <w:i/>
        </w:rPr>
        <w:t xml:space="preserve">Against </w:t>
      </w:r>
      <w:proofErr w:type="spellStart"/>
      <w:r>
        <w:rPr>
          <w:i/>
        </w:rPr>
        <w:t>Eunomius</w:t>
      </w:r>
      <w:proofErr w:type="spellEnd"/>
      <w:r>
        <w:t xml:space="preserve"> (ca. 364–65), Basil of Ca</w:t>
      </w:r>
      <w:r w:rsidR="00450581">
        <w:t>esarea likewise applies an equivalent distinction</w:t>
      </w:r>
      <w:r>
        <w:t xml:space="preserve"> to the Spirit: “the holy powers and the Holy Spirit differ in this regard: for the latter, holiness is nature, whereas for the former, being made holy comes from participation.”</w:t>
      </w:r>
      <w:r>
        <w:rPr>
          <w:rStyle w:val="FootnoteReference"/>
        </w:rPr>
        <w:footnoteReference w:id="74"/>
      </w:r>
      <w:r>
        <w:t xml:space="preserve"> As in </w:t>
      </w:r>
      <w:proofErr w:type="spellStart"/>
      <w:r>
        <w:t>Didymus</w:t>
      </w:r>
      <w:proofErr w:type="spellEnd"/>
      <w:r>
        <w:t xml:space="preserve">, Basil presents this distinction as equivalent to the opposition of divinity and creation. The same type of argument appears more expansively in his </w:t>
      </w:r>
      <w:r>
        <w:rPr>
          <w:i/>
        </w:rPr>
        <w:t xml:space="preserve">On the Holy Spirit </w:t>
      </w:r>
      <w:r w:rsidR="0091334D">
        <w:t>(373–75), where he maintains that one who hears the name “Spirit”</w:t>
      </w:r>
      <w:r w:rsidR="00450581">
        <w:t xml:space="preserve"> will think of the underlying </w:t>
      </w:r>
      <w:r w:rsidR="0091334D">
        <w:t>nature as follows:</w:t>
      </w:r>
    </w:p>
    <w:p w:rsidR="00B10E92" w:rsidRDefault="00C51565" w:rsidP="00C51565">
      <w:pPr>
        <w:spacing w:line="480" w:lineRule="auto"/>
        <w:ind w:left="1440"/>
      </w:pPr>
      <w:r>
        <w:lastRenderedPageBreak/>
        <w:t>. . . o</w:t>
      </w:r>
      <w:r w:rsidR="0091334D">
        <w:t>ne will necessarily think of an intellectual substance</w:t>
      </w:r>
      <w:r w:rsidR="00450581">
        <w:t xml:space="preserve"> (</w:t>
      </w:r>
      <w:r w:rsidR="00450581">
        <w:rPr>
          <w:lang w:val="el-GR"/>
        </w:rPr>
        <w:t>νοερὰν</w:t>
      </w:r>
      <w:r w:rsidR="00450581" w:rsidRPr="00450581">
        <w:t xml:space="preserve"> </w:t>
      </w:r>
      <w:r w:rsidR="00450581">
        <w:rPr>
          <w:lang w:val="el-GR"/>
        </w:rPr>
        <w:t>οὐσίαν</w:t>
      </w:r>
      <w:r w:rsidR="00450581">
        <w:t>)</w:t>
      </w:r>
      <w:r w:rsidR="0091334D">
        <w:t>, infinite in power, unlimited in magnitude, not measured by times or ages, unsparing with the goods it possesses . . .</w:t>
      </w:r>
      <w:r w:rsidR="00450581">
        <w:t xml:space="preserve">perfecting others, but itself deficient in no respect . . . </w:t>
      </w:r>
      <w:r w:rsidR="0091334D">
        <w:t xml:space="preserve"> </w:t>
      </w:r>
      <w:r>
        <w:t>filling</w:t>
      </w:r>
      <w:r w:rsidR="0091334D">
        <w:t xml:space="preserve"> all things with its power, but partaken of</w:t>
      </w:r>
      <w:r w:rsidR="00450581">
        <w:t xml:space="preserve"> (</w:t>
      </w:r>
      <w:r w:rsidR="00450581">
        <w:rPr>
          <w:lang w:val="el-GR"/>
        </w:rPr>
        <w:t>μεθεκτόν</w:t>
      </w:r>
      <w:r w:rsidR="00450581">
        <w:t>)</w:t>
      </w:r>
      <w:r w:rsidR="0091334D">
        <w:t xml:space="preserve"> only by </w:t>
      </w:r>
      <w:r>
        <w:t xml:space="preserve">those who are worthy, and participated </w:t>
      </w:r>
      <w:r w:rsidR="00450581" w:rsidRPr="00450581">
        <w:t>(</w:t>
      </w:r>
      <w:r w:rsidR="00450581">
        <w:rPr>
          <w:lang w:val="el-GR"/>
        </w:rPr>
        <w:t>μετεχόμενον</w:t>
      </w:r>
      <w:r w:rsidR="00450581" w:rsidRPr="00450581">
        <w:t xml:space="preserve">) </w:t>
      </w:r>
      <w:r>
        <w:t xml:space="preserve">not </w:t>
      </w:r>
      <w:r w:rsidR="00450581">
        <w:t>to a uniform degree</w:t>
      </w:r>
      <w:r>
        <w:t xml:space="preserve"> but dividing its activity “in proportion to faith” (</w:t>
      </w:r>
      <w:r w:rsidR="00450581">
        <w:t>Romans 12:6</w:t>
      </w:r>
      <w:r>
        <w:t xml:space="preserve">); simple in substance but diverse in powers; wholly present to each and being everywhere as a whole. Impassibly divided and participated </w:t>
      </w:r>
      <w:r w:rsidR="00450581" w:rsidRPr="00450581">
        <w:t>(</w:t>
      </w:r>
      <w:r w:rsidR="00450581">
        <w:rPr>
          <w:lang w:val="el-GR"/>
        </w:rPr>
        <w:t>μετεχόμενον</w:t>
      </w:r>
      <w:r w:rsidR="00450581" w:rsidRPr="00450581">
        <w:t>)</w:t>
      </w:r>
      <w:r w:rsidR="00450581">
        <w:t xml:space="preserve"> </w:t>
      </w:r>
      <w:r>
        <w:t>in its entirety, as, for illustration, with the sun’s ray, whose charm is present to one who enjoys it as if to him alone, while it shines upon the earth and the sea and mingles with the air.</w:t>
      </w:r>
      <w:r w:rsidR="00B10E92">
        <w:rPr>
          <w:rStyle w:val="FootnoteReference"/>
        </w:rPr>
        <w:footnoteReference w:id="75"/>
      </w:r>
      <w:r w:rsidR="00B10E92">
        <w:t xml:space="preserve"> </w:t>
      </w:r>
    </w:p>
    <w:p w:rsidR="00450581" w:rsidRDefault="00450581" w:rsidP="00B10E92">
      <w:pPr>
        <w:spacing w:line="480" w:lineRule="auto"/>
      </w:pPr>
      <w:r>
        <w:t xml:space="preserve">We can bypass the </w:t>
      </w:r>
      <w:r w:rsidR="00172DAB">
        <w:t xml:space="preserve">debated scholarly question of whether Basil used Plotinus in this passage and its </w:t>
      </w:r>
      <w:r w:rsidR="0007736D">
        <w:t>immediate sequel</w:t>
      </w:r>
      <w:r w:rsidR="00B10E92">
        <w:t>.</w:t>
      </w:r>
      <w:r>
        <w:rPr>
          <w:rStyle w:val="FootnoteReference"/>
        </w:rPr>
        <w:footnoteReference w:id="76"/>
      </w:r>
      <w:r w:rsidR="00B10E92">
        <w:t xml:space="preserve"> </w:t>
      </w:r>
      <w:r>
        <w:t xml:space="preserve">The key is that for Basil, as for Athanasius and </w:t>
      </w:r>
      <w:proofErr w:type="spellStart"/>
      <w:r>
        <w:t>Didymus</w:t>
      </w:r>
      <w:proofErr w:type="spellEnd"/>
      <w:r>
        <w:t xml:space="preserve">, two dichotomies—either being participated or not being participated and either participating or not participating—structure the account of the relation between the creator and the universe. All three of these authors use this framework to explicate the divinity of the Son and the Spirit. It is notable that all three apply the logic to these hypostases individually, rather than to a shared divine nature. </w:t>
      </w:r>
    </w:p>
    <w:p w:rsidR="00947452" w:rsidRDefault="00450581" w:rsidP="00B90FE6">
      <w:pPr>
        <w:spacing w:line="480" w:lineRule="auto"/>
      </w:pPr>
      <w:r>
        <w:tab/>
        <w:t>In the polemical works of Gregory of Nyssa, which were written in the years following Basil’s death, we se</w:t>
      </w:r>
      <w:r w:rsidR="0068381B">
        <w:t>e the extension of the framework</w:t>
      </w:r>
      <w:r>
        <w:t xml:space="preserve"> to the divine nature as such. </w:t>
      </w:r>
      <w:r w:rsidR="00B91538">
        <w:t xml:space="preserve">Gregory distinguishes the uncreated nature of the Trinity from created intelligible natures. While angels </w:t>
      </w:r>
      <w:r w:rsidR="00B91538">
        <w:lastRenderedPageBreak/>
        <w:t>and rational souls are like God in their imm</w:t>
      </w:r>
      <w:r w:rsidR="00597E70">
        <w:t xml:space="preserve">aterial nature, unlike God they </w:t>
      </w:r>
      <w:r w:rsidR="00B91538">
        <w:t>admit of degrees of goodness corresponding to their moral inclin</w:t>
      </w:r>
      <w:r w:rsidR="00597E70">
        <w:t xml:space="preserve">ations and choices. </w:t>
      </w:r>
    </w:p>
    <w:p w:rsidR="00B91538" w:rsidRDefault="00B91538" w:rsidP="00B91538">
      <w:pPr>
        <w:spacing w:line="480" w:lineRule="auto"/>
        <w:ind w:left="1440"/>
      </w:pPr>
      <w:r>
        <w:t>The uncreated nature is far removed from this sort of differentiation, since it does not possess the good as something acquired and does not admit the beautiful in itself by participation in any transcendent beauty (</w:t>
      </w:r>
      <w:r>
        <w:rPr>
          <w:lang w:val="el-GR"/>
        </w:rPr>
        <w:t>κατὰ</w:t>
      </w:r>
      <w:r w:rsidRPr="00B91538">
        <w:t xml:space="preserve"> </w:t>
      </w:r>
      <w:r>
        <w:rPr>
          <w:lang w:val="el-GR"/>
        </w:rPr>
        <w:t>μετοχὴν</w:t>
      </w:r>
      <w:r w:rsidRPr="00B91538">
        <w:t xml:space="preserve"> </w:t>
      </w:r>
      <w:r>
        <w:rPr>
          <w:lang w:val="el-GR"/>
        </w:rPr>
        <w:t>ὑπερκειμένου</w:t>
      </w:r>
      <w:r w:rsidRPr="00B91538">
        <w:t xml:space="preserve"> </w:t>
      </w:r>
      <w:r>
        <w:rPr>
          <w:lang w:val="el-GR"/>
        </w:rPr>
        <w:t>τινὸς</w:t>
      </w:r>
      <w:r w:rsidRPr="00B91538">
        <w:t xml:space="preserve"> </w:t>
      </w:r>
      <w:r>
        <w:rPr>
          <w:lang w:val="el-GR"/>
        </w:rPr>
        <w:t>καλοῦ</w:t>
      </w:r>
      <w:r>
        <w:t xml:space="preserve">). Rather, whatever it is by nature, it is </w:t>
      </w:r>
      <w:r w:rsidR="0068381B">
        <w:t xml:space="preserve">and is understood to be </w:t>
      </w:r>
      <w:r>
        <w:t>good and the simple, uniform, and non-composite source of good, as is testified even by our opponents.</w:t>
      </w:r>
      <w:r>
        <w:rPr>
          <w:rStyle w:val="FootnoteReference"/>
        </w:rPr>
        <w:footnoteReference w:id="77"/>
      </w:r>
    </w:p>
    <w:p w:rsidR="00B91538" w:rsidRDefault="00FB3BFB" w:rsidP="00B90FE6">
      <w:pPr>
        <w:spacing w:line="480" w:lineRule="auto"/>
      </w:pPr>
      <w:r>
        <w:t xml:space="preserve">Here the subject is not the Son’s or the Spirit’s nature, but the nature distinguished by the “uncreated” differentia. </w:t>
      </w:r>
      <w:r w:rsidR="009422D7">
        <w:t xml:space="preserve">The extension of the principle to cover a universal divine nature rather than merely the natures of the persons has clear benefits for Gregory’s Trinitarian argument. Yet it also removes one of the reasons that had motivated earlier Christians to apply the language of participation to the Trinity, namely, the appearance of homonymous terms as special names of the persons (for instance, </w:t>
      </w:r>
      <w:r w:rsidR="009422D7">
        <w:rPr>
          <w:i/>
        </w:rPr>
        <w:t>logos</w:t>
      </w:r>
      <w:r w:rsidR="009422D7">
        <w:t xml:space="preserve"> for the Son and holiness for the Spirit) and as predicates of creatures. For Gregory, who here is following an insight in a few passages of his older brother, the relevant predicates are now viewed as common predicates of the divine nature. In the passage just quoted, </w:t>
      </w:r>
      <w:r>
        <w:t>Gregory’s point is that distinctions among</w:t>
      </w:r>
      <w:r w:rsidR="00650486">
        <w:t xml:space="preserve"> the Father, Son, and Spirit </w:t>
      </w:r>
      <w:r>
        <w:t>must be understood as somehow within and corresponding to this common divine nature</w:t>
      </w:r>
      <w:r w:rsidR="00650486">
        <w:t xml:space="preserve">. </w:t>
      </w:r>
      <w:r>
        <w:t xml:space="preserve">This nature is the ultimate explanatory principle </w:t>
      </w:r>
      <w:r w:rsidR="009422D7">
        <w:t xml:space="preserve">for the perfections he names; it </w:t>
      </w:r>
      <w:r>
        <w:t>therefore cannot admit of degrees of perfection. Accordingly, the persons</w:t>
      </w:r>
      <w:r w:rsidR="00650486">
        <w:t xml:space="preserve"> </w:t>
      </w:r>
      <w:r>
        <w:t xml:space="preserve">who belong to it </w:t>
      </w:r>
      <w:r w:rsidR="00650486">
        <w:t xml:space="preserve">cannot be spoken of as greater or lesser than one another, as </w:t>
      </w:r>
      <w:proofErr w:type="spellStart"/>
      <w:r w:rsidR="00650486">
        <w:t>Eunomius</w:t>
      </w:r>
      <w:proofErr w:type="spellEnd"/>
      <w:r w:rsidR="00650486">
        <w:t xml:space="preserve"> had done. Gregory does not build his case, as earlier pro-</w:t>
      </w:r>
      <w:proofErr w:type="spellStart"/>
      <w:r w:rsidR="00650486">
        <w:t>Nicenes</w:t>
      </w:r>
      <w:proofErr w:type="spellEnd"/>
      <w:r w:rsidR="00650486">
        <w:t xml:space="preserve"> had done, by addressing the hypostases one by one; rather, he applies the participated-</w:t>
      </w:r>
      <w:r w:rsidR="00650486">
        <w:lastRenderedPageBreak/>
        <w:t xml:space="preserve">not-participating premise to the divine nature as such. </w:t>
      </w:r>
      <w:r w:rsidR="001276D4">
        <w:t>For him, creatures p</w:t>
      </w:r>
      <w:r w:rsidR="00300862">
        <w:t>articipate in the divine nature; they do not stand in distinct participation relations with the three hypostases</w:t>
      </w:r>
      <w:r w:rsidR="001276D4">
        <w:t xml:space="preserve">. </w:t>
      </w:r>
      <w:r w:rsidR="00650486">
        <w:t xml:space="preserve">The </w:t>
      </w:r>
      <w:r w:rsidR="001276D4">
        <w:t xml:space="preserve">doctrinal </w:t>
      </w:r>
      <w:r w:rsidR="00650486">
        <w:t>effect</w:t>
      </w:r>
      <w:r w:rsidR="001276D4">
        <w:t xml:space="preserve"> of Gregor</w:t>
      </w:r>
      <w:r w:rsidR="009422D7">
        <w:t xml:space="preserve">y’s argument might be </w:t>
      </w:r>
      <w:r w:rsidR="00300862">
        <w:t>akin to</w:t>
      </w:r>
      <w:r w:rsidR="001276D4">
        <w:t xml:space="preserve"> that of his predecessors</w:t>
      </w:r>
      <w:r w:rsidR="00650486">
        <w:t>, but the underlying framework h</w:t>
      </w:r>
      <w:r w:rsidR="00300862">
        <w:t>as changed</w:t>
      </w:r>
      <w:r w:rsidR="00650486">
        <w:t>.</w:t>
      </w:r>
      <w:r w:rsidR="00650486">
        <w:rPr>
          <w:rStyle w:val="FootnoteReference"/>
        </w:rPr>
        <w:footnoteReference w:id="78"/>
      </w:r>
      <w:r w:rsidR="00650486">
        <w:t xml:space="preserve">  </w:t>
      </w:r>
    </w:p>
    <w:p w:rsidR="000F26AC" w:rsidRPr="002F70C9" w:rsidRDefault="00947452" w:rsidP="00B90FE6">
      <w:pPr>
        <w:spacing w:line="480" w:lineRule="auto"/>
      </w:pPr>
      <w:r>
        <w:tab/>
      </w:r>
      <w:r w:rsidR="006C4615">
        <w:t xml:space="preserve">The ground shifts once </w:t>
      </w:r>
      <w:r w:rsidR="001276D4">
        <w:t xml:space="preserve">again in the Corpus </w:t>
      </w:r>
      <w:proofErr w:type="spellStart"/>
      <w:r w:rsidR="001276D4">
        <w:t>Dionysiacum</w:t>
      </w:r>
      <w:proofErr w:type="spellEnd"/>
      <w:r w:rsidR="006C4615">
        <w:t xml:space="preserve">. </w:t>
      </w:r>
      <w:r w:rsidR="002F70C9">
        <w:t xml:space="preserve">In </w:t>
      </w:r>
      <w:r w:rsidR="002F70C9">
        <w:rPr>
          <w:i/>
        </w:rPr>
        <w:t>Divine Names</w:t>
      </w:r>
      <w:r w:rsidR="00E037CD">
        <w:t xml:space="preserve"> 2</w:t>
      </w:r>
      <w:r w:rsidR="002F70C9">
        <w:t xml:space="preserve">, Pseudo-Dionysius distinguishes those names which are said of the entire divinity from those which are said specifically of only one of the hypostases. </w:t>
      </w:r>
      <w:r w:rsidR="000F26AC">
        <w:t>The former are “united in keeping with the divine distinction.”</w:t>
      </w:r>
      <w:r w:rsidR="000F26AC">
        <w:rPr>
          <w:rStyle w:val="FootnoteReference"/>
        </w:rPr>
        <w:footnoteReference w:id="79"/>
      </w:r>
      <w:r w:rsidR="000F26AC">
        <w:t xml:space="preserve"> That is, they are ascribed to the three persons in union, while respecting the distinctions among the three. The examples of such names link them with participation:</w:t>
      </w:r>
    </w:p>
    <w:p w:rsidR="006B18A1" w:rsidRDefault="006B18A1" w:rsidP="006B18A1">
      <w:pPr>
        <w:spacing w:line="480" w:lineRule="auto"/>
        <w:ind w:left="1440"/>
      </w:pPr>
      <w:r>
        <w:t>. . . non-reciprocal gifts of participation (</w:t>
      </w:r>
      <w:r>
        <w:rPr>
          <w:lang w:val="el-GR"/>
        </w:rPr>
        <w:t>αἱ</w:t>
      </w:r>
      <w:r w:rsidRPr="006B18A1">
        <w:t xml:space="preserve"> </w:t>
      </w:r>
      <w:r>
        <w:rPr>
          <w:lang w:val="el-GR"/>
        </w:rPr>
        <w:t>ἄσχετοι</w:t>
      </w:r>
      <w:r w:rsidRPr="006B18A1">
        <w:t xml:space="preserve"> </w:t>
      </w:r>
      <w:r>
        <w:rPr>
          <w:lang w:val="el-GR"/>
        </w:rPr>
        <w:t>μεταδόσεις</w:t>
      </w:r>
      <w:r>
        <w:t>), creations of substance, life, and wisdom, and the other gifts of goodness of the cause of all, according to which [gifts] those which are participated without participation (</w:t>
      </w:r>
      <w:r>
        <w:rPr>
          <w:lang w:val="el-GR"/>
        </w:rPr>
        <w:t>τὰ</w:t>
      </w:r>
      <w:r w:rsidRPr="006B18A1">
        <w:t xml:space="preserve"> </w:t>
      </w:r>
      <w:r>
        <w:rPr>
          <w:lang w:val="el-GR"/>
        </w:rPr>
        <w:t>ἀμεθέκτως</w:t>
      </w:r>
      <w:r w:rsidRPr="006B18A1">
        <w:t xml:space="preserve"> </w:t>
      </w:r>
      <w:r>
        <w:rPr>
          <w:lang w:val="el-GR"/>
        </w:rPr>
        <w:t>μετεχόμενα</w:t>
      </w:r>
      <w:r>
        <w:t>) are hymned by the participations and the partakers.</w:t>
      </w:r>
      <w:r>
        <w:rPr>
          <w:rStyle w:val="FootnoteReference"/>
        </w:rPr>
        <w:footnoteReference w:id="80"/>
      </w:r>
    </w:p>
    <w:p w:rsidR="00BF5B71" w:rsidRDefault="006B18A1" w:rsidP="00B90FE6">
      <w:pPr>
        <w:spacing w:line="480" w:lineRule="auto"/>
      </w:pPr>
      <w:r>
        <w:t xml:space="preserve">In context, the plural </w:t>
      </w:r>
      <w:r>
        <w:rPr>
          <w:lang w:val="el-GR"/>
        </w:rPr>
        <w:t>τὰ</w:t>
      </w:r>
      <w:r w:rsidRPr="006B18A1">
        <w:t xml:space="preserve"> </w:t>
      </w:r>
      <w:r>
        <w:rPr>
          <w:lang w:val="el-GR"/>
        </w:rPr>
        <w:t>ἀμεθέκτως</w:t>
      </w:r>
      <w:r w:rsidRPr="006B18A1">
        <w:t xml:space="preserve"> </w:t>
      </w:r>
      <w:r>
        <w:rPr>
          <w:lang w:val="el-GR"/>
        </w:rPr>
        <w:t>μετεχόμενα</w:t>
      </w:r>
      <w:r>
        <w:t xml:space="preserve"> refers to the three persons</w:t>
      </w:r>
      <w:r w:rsidR="00F43B53">
        <w:t>. His reference to union within distinction is a way of saying, not unlike Gregory of Nyssa, that creatures participate in the entire Trinity, rather than in any single hypostasis. At the same time, the</w:t>
      </w:r>
      <w:r>
        <w:t xml:space="preserve"> phrase introduces a nuance </w:t>
      </w:r>
      <w:r w:rsidR="00F43B53">
        <w:t>we have not yet encountered. The</w:t>
      </w:r>
      <w:r>
        <w:t xml:space="preserve"> point is not, as we saw in our fourth-century authors, that the Trinity does not participate in a superordinate perfection, but rather that </w:t>
      </w:r>
      <w:r w:rsidR="00C66B57">
        <w:t xml:space="preserve">it is in one sense participated and in another sense </w:t>
      </w:r>
      <w:proofErr w:type="spellStart"/>
      <w:r w:rsidR="00C66B57">
        <w:t>unparticipated</w:t>
      </w:r>
      <w:proofErr w:type="spellEnd"/>
      <w:r w:rsidR="00C66B57">
        <w:t>. T</w:t>
      </w:r>
      <w:r>
        <w:t xml:space="preserve">he Trinity gives substance, life, wisdom, and </w:t>
      </w:r>
      <w:r>
        <w:lastRenderedPageBreak/>
        <w:t>the like</w:t>
      </w:r>
      <w:r w:rsidR="00F43B53">
        <w:t>, which are the subjects of participants’ praises,</w:t>
      </w:r>
      <w:r>
        <w:t xml:space="preserve"> but </w:t>
      </w:r>
      <w:r w:rsidR="00F43B53">
        <w:t xml:space="preserve">it </w:t>
      </w:r>
      <w:r w:rsidR="00C66B57">
        <w:t>does not exemplify the perfections it causes</w:t>
      </w:r>
      <w:r>
        <w:t xml:space="preserve">. </w:t>
      </w:r>
      <w:r w:rsidR="00F43B53">
        <w:t>The</w:t>
      </w:r>
      <w:r>
        <w:t xml:space="preserve"> non-reciprocal </w:t>
      </w:r>
      <w:r w:rsidR="00F43B53">
        <w:t xml:space="preserve">character of participation is </w:t>
      </w:r>
      <w:r>
        <w:t>such that it can in a sense</w:t>
      </w:r>
      <w:r w:rsidR="00F43B53">
        <w:t xml:space="preserve"> be</w:t>
      </w:r>
      <w:r>
        <w:t xml:space="preserve"> more adequately denied than affirmed</w:t>
      </w:r>
      <w:r w:rsidR="00444325">
        <w:t>; thus Pseudo-Dionysius speaks of “the non-participation (</w:t>
      </w:r>
      <w:r w:rsidR="00444325">
        <w:rPr>
          <w:lang w:val="el-GR"/>
        </w:rPr>
        <w:t>ἡ</w:t>
      </w:r>
      <w:r w:rsidR="00444325" w:rsidRPr="0023072D">
        <w:t xml:space="preserve"> . . . </w:t>
      </w:r>
      <w:r w:rsidR="00444325">
        <w:rPr>
          <w:lang w:val="el-GR"/>
        </w:rPr>
        <w:t>ἀμεθεξία</w:t>
      </w:r>
      <w:r w:rsidR="00444325">
        <w:t>) of the all-causing divinity</w:t>
      </w:r>
      <w:r w:rsidR="00F43B53">
        <w:t>.</w:t>
      </w:r>
      <w:r w:rsidR="00444325">
        <w:t>”</w:t>
      </w:r>
      <w:r w:rsidR="00444325">
        <w:rPr>
          <w:rStyle w:val="FootnoteReference"/>
        </w:rPr>
        <w:footnoteReference w:id="81"/>
      </w:r>
      <w:r w:rsidR="00F43B53">
        <w:t xml:space="preserve"> </w:t>
      </w:r>
    </w:p>
    <w:p w:rsidR="006B18A1" w:rsidRPr="00A16CA1" w:rsidRDefault="006B18A1" w:rsidP="00BF5B71">
      <w:pPr>
        <w:spacing w:line="480" w:lineRule="auto"/>
        <w:ind w:firstLine="720"/>
      </w:pPr>
      <w:r>
        <w:t>Pseudo-Dionysius</w:t>
      </w:r>
      <w:r w:rsidR="00F43B53">
        <w:t>’ term</w:t>
      </w:r>
      <w:r w:rsidR="00AF13E4">
        <w:t xml:space="preserve">s </w:t>
      </w:r>
      <w:r w:rsidR="00AF13E4">
        <w:rPr>
          <w:lang w:val="el-GR"/>
        </w:rPr>
        <w:t>ἀμεθέκτως</w:t>
      </w:r>
      <w:r w:rsidR="00AF13E4">
        <w:t xml:space="preserve"> and</w:t>
      </w:r>
      <w:r w:rsidR="00F43B53">
        <w:t xml:space="preserve"> </w:t>
      </w:r>
      <w:r w:rsidR="00F43B53">
        <w:rPr>
          <w:lang w:val="el-GR"/>
        </w:rPr>
        <w:t>ἀμεθεξία</w:t>
      </w:r>
      <w:r w:rsidR="00AF13E4">
        <w:t xml:space="preserve"> evoke </w:t>
      </w:r>
      <w:proofErr w:type="spellStart"/>
      <w:r w:rsidR="00AF13E4">
        <w:t>Proclean</w:t>
      </w:r>
      <w:proofErr w:type="spellEnd"/>
      <w:r w:rsidR="00AF13E4">
        <w:t xml:space="preserve"> doctrine. According to Proclus, prio</w:t>
      </w:r>
      <w:r w:rsidR="006C4615">
        <w:t>r to any intelligible item that is participated (</w:t>
      </w:r>
      <w:r w:rsidR="006C4615">
        <w:rPr>
          <w:lang w:val="el-GR"/>
        </w:rPr>
        <w:t>τὸ</w:t>
      </w:r>
      <w:r w:rsidR="006C4615" w:rsidRPr="006C4615">
        <w:t xml:space="preserve"> </w:t>
      </w:r>
      <w:r w:rsidR="006C4615">
        <w:rPr>
          <w:lang w:val="el-GR"/>
        </w:rPr>
        <w:t>μετεχομένον</w:t>
      </w:r>
      <w:r w:rsidR="00AF13E4">
        <w:t xml:space="preserve">) lies </w:t>
      </w:r>
      <w:r w:rsidR="006C4615">
        <w:t xml:space="preserve">that which is </w:t>
      </w:r>
      <w:proofErr w:type="spellStart"/>
      <w:r w:rsidR="006C4615">
        <w:t>unparticipated</w:t>
      </w:r>
      <w:proofErr w:type="spellEnd"/>
      <w:r w:rsidR="006C4615">
        <w:t xml:space="preserve"> (τ</w:t>
      </w:r>
      <w:r w:rsidR="006C4615">
        <w:rPr>
          <w:lang w:val="el-GR"/>
        </w:rPr>
        <w:t>ὸ</w:t>
      </w:r>
      <w:r w:rsidR="006C4615" w:rsidRPr="006C4615">
        <w:t xml:space="preserve"> </w:t>
      </w:r>
      <w:r w:rsidR="006C4615">
        <w:rPr>
          <w:lang w:val="el-GR"/>
        </w:rPr>
        <w:t>ἀμέθεκτον</w:t>
      </w:r>
      <w:r w:rsidR="00A16CA1">
        <w:t>)</w:t>
      </w:r>
      <w:r w:rsidR="006C4615">
        <w:t xml:space="preserve">; there is an ontological hierarchy descending from </w:t>
      </w:r>
      <w:proofErr w:type="spellStart"/>
      <w:r w:rsidR="006C4615">
        <w:t>unparticipated</w:t>
      </w:r>
      <w:proofErr w:type="spellEnd"/>
      <w:r w:rsidR="006C4615">
        <w:t xml:space="preserve"> to participated to participant (</w:t>
      </w:r>
      <w:r w:rsidR="006C4615">
        <w:rPr>
          <w:lang w:val="el-GR"/>
        </w:rPr>
        <w:t>τὸ</w:t>
      </w:r>
      <w:r w:rsidR="006C4615" w:rsidRPr="006C4615">
        <w:t xml:space="preserve"> </w:t>
      </w:r>
      <w:r w:rsidR="006C4615">
        <w:rPr>
          <w:lang w:val="el-GR"/>
        </w:rPr>
        <w:t>μετέχον</w:t>
      </w:r>
      <w:r w:rsidR="006C4615">
        <w:t>)</w:t>
      </w:r>
      <w:r w:rsidR="00A16CA1">
        <w:t>.</w:t>
      </w:r>
      <w:r w:rsidR="00A16CA1">
        <w:rPr>
          <w:rStyle w:val="FootnoteReference"/>
        </w:rPr>
        <w:footnoteReference w:id="82"/>
      </w:r>
      <w:r w:rsidR="00F43B53">
        <w:t xml:space="preserve"> Pseudo-Dionysius alters Proclus’s</w:t>
      </w:r>
      <w:r w:rsidR="006C4615">
        <w:t xml:space="preserve"> scheme by identifying the</w:t>
      </w:r>
      <w:r w:rsidR="00A16CA1">
        <w:t xml:space="preserve"> levels</w:t>
      </w:r>
      <w:r w:rsidR="006C4615">
        <w:t xml:space="preserve"> of </w:t>
      </w:r>
      <w:proofErr w:type="spellStart"/>
      <w:r w:rsidR="006C4615">
        <w:t>unparticipated</w:t>
      </w:r>
      <w:proofErr w:type="spellEnd"/>
      <w:r w:rsidR="006C4615">
        <w:t xml:space="preserve"> and participated</w:t>
      </w:r>
      <w:r w:rsidR="00A16CA1">
        <w:t xml:space="preserve">, </w:t>
      </w:r>
      <w:r w:rsidR="006C4615">
        <w:t>using “</w:t>
      </w:r>
      <w:proofErr w:type="spellStart"/>
      <w:r w:rsidR="006C4615">
        <w:t>unparticipatedly</w:t>
      </w:r>
      <w:proofErr w:type="spellEnd"/>
      <w:r w:rsidR="006C4615">
        <w:t>”</w:t>
      </w:r>
      <w:r w:rsidR="00A16CA1">
        <w:t xml:space="preserve"> </w:t>
      </w:r>
      <w:r w:rsidR="006C4615">
        <w:t xml:space="preserve">as </w:t>
      </w:r>
      <w:r w:rsidR="00A16CA1">
        <w:t>an adverbial qua</w:t>
      </w:r>
      <w:r w:rsidR="006C4615">
        <w:t>lification of “participated</w:t>
      </w:r>
      <w:r w:rsidR="00A16CA1">
        <w:t>.</w:t>
      </w:r>
      <w:r w:rsidR="006C4615">
        <w:t>”</w:t>
      </w:r>
      <w:r w:rsidR="00A16CA1">
        <w:t xml:space="preserve"> The move might seem to entail a contradiction, but the context suggests that he is merely saying that the participated source </w:t>
      </w:r>
      <w:r w:rsidR="006C4615">
        <w:t>does not exemplify the state that</w:t>
      </w:r>
      <w:r w:rsidR="00A16CA1">
        <w:t xml:space="preserve"> it causes in the participant, just as fire </w:t>
      </w:r>
      <w:r w:rsidR="006C4615">
        <w:t>burns other things but is not itself burned</w:t>
      </w:r>
      <w:r w:rsidR="00A16CA1">
        <w:t>.</w:t>
      </w:r>
      <w:r w:rsidR="00A16CA1">
        <w:rPr>
          <w:rStyle w:val="FootnoteReference"/>
        </w:rPr>
        <w:footnoteReference w:id="83"/>
      </w:r>
      <w:r w:rsidR="00A16CA1">
        <w:t xml:space="preserve"> </w:t>
      </w:r>
      <w:r w:rsidR="006C4615">
        <w:t xml:space="preserve">Pseudo-Dionysius </w:t>
      </w:r>
      <w:r w:rsidR="00A16CA1">
        <w:rPr>
          <w:i/>
        </w:rPr>
        <w:t>must</w:t>
      </w:r>
      <w:r w:rsidR="00D03A33">
        <w:t xml:space="preserve"> identify the</w:t>
      </w:r>
      <w:r w:rsidR="00A16CA1">
        <w:t xml:space="preserve"> participated and </w:t>
      </w:r>
      <w:r w:rsidR="00D03A33">
        <w:t xml:space="preserve">the </w:t>
      </w:r>
      <w:proofErr w:type="spellStart"/>
      <w:r w:rsidR="00A16CA1">
        <w:t>unparticipated</w:t>
      </w:r>
      <w:proofErr w:type="spellEnd"/>
      <w:r w:rsidR="00A16CA1">
        <w:t>, since for him what is participated is the Trinity beyond which there is nothing. Thus the denial of a superordinate order is implicit in his seemingly puzz</w:t>
      </w:r>
      <w:r w:rsidR="001276D4">
        <w:t>ling language</w:t>
      </w:r>
      <w:r w:rsidR="00D03A33">
        <w:t xml:space="preserve">. </w:t>
      </w:r>
      <w:r w:rsidR="001276D4">
        <w:t>T</w:t>
      </w:r>
      <w:r w:rsidR="00A16CA1">
        <w:t xml:space="preserve">he </w:t>
      </w:r>
      <w:r w:rsidR="00A16CA1">
        <w:rPr>
          <w:i/>
        </w:rPr>
        <w:t>entire</w:t>
      </w:r>
      <w:r w:rsidR="00A16CA1">
        <w:t xml:space="preserve"> divinity—Father, Son, and Spirit—is participated in each instance of participation; he leaves no opening for distinct participations in the three hypostases</w:t>
      </w:r>
      <w:r w:rsidR="00D03A33">
        <w:t xml:space="preserve">, such that the Father might be </w:t>
      </w:r>
      <w:proofErr w:type="spellStart"/>
      <w:r w:rsidR="00D03A33">
        <w:t>unparticipated</w:t>
      </w:r>
      <w:proofErr w:type="spellEnd"/>
      <w:r w:rsidR="00D03A33">
        <w:t xml:space="preserve"> while the Son and Spirit are participated</w:t>
      </w:r>
      <w:r w:rsidR="00A16CA1">
        <w:t xml:space="preserve">. What distinguishes Pseudo-Dionysius </w:t>
      </w:r>
      <w:r w:rsidR="00D03A33">
        <w:t>from his predecessor</w:t>
      </w:r>
      <w:r w:rsidR="001276D4">
        <w:t>s</w:t>
      </w:r>
      <w:r w:rsidR="00D03A33">
        <w:t xml:space="preserve"> </w:t>
      </w:r>
      <w:r w:rsidR="00A16CA1">
        <w:t>is his thorough application of the idea that the Trinity exists beyond being and intelligence, which leads him to avoid the language of divine nature and substance</w:t>
      </w:r>
      <w:r w:rsidR="001276D4">
        <w:t xml:space="preserve"> that had featured prominently in previous authors</w:t>
      </w:r>
      <w:r w:rsidR="00A16CA1">
        <w:t xml:space="preserve">. We have, then, </w:t>
      </w:r>
      <w:r w:rsidR="00D03A33">
        <w:t>the language of</w:t>
      </w:r>
      <w:r w:rsidR="00A16CA1">
        <w:t xml:space="preserve"> participation </w:t>
      </w:r>
      <w:r w:rsidR="00D03A33">
        <w:t xml:space="preserve">in the Trinity </w:t>
      </w:r>
      <w:r w:rsidR="00A16CA1">
        <w:t xml:space="preserve">placed within a more </w:t>
      </w:r>
      <w:r w:rsidR="00A16CA1">
        <w:lastRenderedPageBreak/>
        <w:t>thoroughly Neoplatonic metaphysical framework</w:t>
      </w:r>
      <w:r w:rsidR="00D03A33">
        <w:t xml:space="preserve">. At the same time, Pseudo-Dionysius’s Trinitarian commitments </w:t>
      </w:r>
      <w:r w:rsidR="001276D4">
        <w:t>lead him to revise</w:t>
      </w:r>
      <w:r w:rsidR="00D03A33">
        <w:t xml:space="preserve"> Proclus’s use of the language of non-participation</w:t>
      </w:r>
      <w:r w:rsidR="00A16CA1">
        <w:t xml:space="preserve">. </w:t>
      </w:r>
    </w:p>
    <w:p w:rsidR="001276D4" w:rsidRDefault="00947452" w:rsidP="00B90FE6">
      <w:pPr>
        <w:spacing w:line="480" w:lineRule="auto"/>
      </w:pPr>
      <w:r>
        <w:tab/>
      </w:r>
      <w:r w:rsidR="006C4615">
        <w:t>E</w:t>
      </w:r>
      <w:r>
        <w:t xml:space="preserve">ach </w:t>
      </w:r>
      <w:r w:rsidR="006C4615">
        <w:t xml:space="preserve">of these four </w:t>
      </w:r>
      <w:r>
        <w:t>stage</w:t>
      </w:r>
      <w:r w:rsidR="006C4615">
        <w:t>s</w:t>
      </w:r>
      <w:r>
        <w:t xml:space="preserve"> represents a distinct model </w:t>
      </w:r>
      <w:r w:rsidR="006C4615">
        <w:t xml:space="preserve">of Trinitarian theology </w:t>
      </w:r>
      <w:r>
        <w:t xml:space="preserve">worthy of reflection in its own right. </w:t>
      </w:r>
      <w:r w:rsidR="006C4615">
        <w:t xml:space="preserve">As we look across the four, we can at the least conclude that </w:t>
      </w:r>
      <w:r w:rsidR="003F66C9">
        <w:t>t</w:t>
      </w:r>
      <w:r>
        <w:t xml:space="preserve">he development of Trinitarian orthodoxy did not lead to any disengagement with Platonist metaphysics. </w:t>
      </w:r>
      <w:r w:rsidR="003F66C9">
        <w:t xml:space="preserve">The survival of participation </w:t>
      </w:r>
      <w:r w:rsidR="00EC1B8E">
        <w:t>m</w:t>
      </w:r>
      <w:r w:rsidR="0057128D">
        <w:t>etaphysics in these authors, and</w:t>
      </w:r>
      <w:r w:rsidR="00EC1B8E">
        <w:t xml:space="preserve"> many</w:t>
      </w:r>
      <w:r w:rsidR="003F66C9">
        <w:t xml:space="preserve"> after them, </w:t>
      </w:r>
      <w:r w:rsidR="00EC1B8E">
        <w:t>f</w:t>
      </w:r>
      <w:r w:rsidR="003F66C9">
        <w:t xml:space="preserve">orces us to ask whether Christian theology can get by without it. </w:t>
      </w:r>
      <w:r w:rsidR="00EC1B8E">
        <w:t>While it is true that</w:t>
      </w:r>
      <w:r w:rsidR="003F66C9">
        <w:t>, after Origen, participation ceases to do the work of explaining relations among the T</w:t>
      </w:r>
      <w:r w:rsidR="00EC1B8E">
        <w:t xml:space="preserve">rinitarian hypostases, </w:t>
      </w:r>
      <w:r w:rsidR="003F66C9">
        <w:t xml:space="preserve">it would not be easy to find an alternative scheme that expresses exactly the point made by Athanasius or his successors. </w:t>
      </w:r>
      <w:r w:rsidR="00D75D7D">
        <w:t xml:space="preserve">Simply </w:t>
      </w:r>
      <w:r w:rsidR="00B97CFD">
        <w:t>invoking a dichotomy</w:t>
      </w:r>
      <w:r w:rsidR="00D75D7D">
        <w:t xml:space="preserve"> between</w:t>
      </w:r>
      <w:r w:rsidR="00DD1C6B">
        <w:t xml:space="preserve"> “Creator” and “creature” (or “God” and “world”)</w:t>
      </w:r>
      <w:r w:rsidR="00D75D7D">
        <w:t xml:space="preserve"> ca</w:t>
      </w:r>
      <w:r w:rsidR="00B97CFD">
        <w:t>ptures a difference but overlooks</w:t>
      </w:r>
      <w:r w:rsidR="00D75D7D">
        <w:t xml:space="preserve"> the concomitant likeness, and </w:t>
      </w:r>
      <w:r w:rsidR="00B97CFD">
        <w:t>it fails to</w:t>
      </w:r>
      <w:r w:rsidR="00D75D7D">
        <w:t xml:space="preserve"> introduce the </w:t>
      </w:r>
      <w:r w:rsidR="00444325">
        <w:t xml:space="preserve">linguistic </w:t>
      </w:r>
      <w:r w:rsidR="00D75D7D">
        <w:t>issue</w:t>
      </w:r>
      <w:r w:rsidR="00DD1C6B">
        <w:t xml:space="preserve"> of homonymy that </w:t>
      </w:r>
      <w:r w:rsidR="00B97CFD">
        <w:t xml:space="preserve">the </w:t>
      </w:r>
      <w:r w:rsidR="00444325">
        <w:t>doctrine</w:t>
      </w:r>
      <w:r w:rsidR="00B97CFD">
        <w:t xml:space="preserve"> of </w:t>
      </w:r>
      <w:r w:rsidR="00DD1C6B">
        <w:t xml:space="preserve">participation identifies. </w:t>
      </w:r>
      <w:r w:rsidR="00B97CFD">
        <w:t>As we have seen, t</w:t>
      </w:r>
      <w:r w:rsidR="00DD1C6B">
        <w:t>he patristic authors surveyed here are interested in case</w:t>
      </w:r>
      <w:r w:rsidR="00D75D7D">
        <w:t>s where the same predicate is appl</w:t>
      </w:r>
      <w:r w:rsidR="00B97CFD">
        <w:t xml:space="preserve">ied to both God and a creature: </w:t>
      </w:r>
      <w:r w:rsidR="00D75D7D">
        <w:t>for instance, when one says</w:t>
      </w:r>
      <w:r w:rsidR="00DD1C6B">
        <w:t xml:space="preserve"> “the Holy Spirit is holy” and “t</w:t>
      </w:r>
      <w:r w:rsidR="00D75D7D">
        <w:t>he angel Gabriel is holy”. Our authors give</w:t>
      </w:r>
      <w:r w:rsidR="00DD1C6B">
        <w:t xml:space="preserve"> interestingly dif</w:t>
      </w:r>
      <w:r w:rsidR="00D75D7D">
        <w:t xml:space="preserve">ferent accounts of </w:t>
      </w:r>
      <w:r w:rsidR="009F299F">
        <w:t>the</w:t>
      </w:r>
      <w:r w:rsidR="00DD1C6B">
        <w:t xml:space="preserve"> first proposition: is it true in vi</w:t>
      </w:r>
      <w:r w:rsidR="001276D4">
        <w:t>rtue of the Spirit’s nature or</w:t>
      </w:r>
      <w:r w:rsidR="004D38FB">
        <w:t xml:space="preserve"> </w:t>
      </w:r>
      <w:r w:rsidR="001276D4">
        <w:t xml:space="preserve">the divine nature? Does </w:t>
      </w:r>
      <w:r w:rsidR="00DD1C6B">
        <w:t xml:space="preserve">the </w:t>
      </w:r>
      <w:proofErr w:type="spellStart"/>
      <w:r w:rsidR="00DD1C6B">
        <w:t>supersubstantial</w:t>
      </w:r>
      <w:proofErr w:type="spellEnd"/>
      <w:r w:rsidR="00DD1C6B">
        <w:t xml:space="preserve"> divinity</w:t>
      </w:r>
      <w:r w:rsidR="001276D4">
        <w:t xml:space="preserve"> transcend even holiness</w:t>
      </w:r>
      <w:r w:rsidR="00DD1C6B">
        <w:t xml:space="preserve">? </w:t>
      </w:r>
      <w:r w:rsidR="004D38FB">
        <w:t>Despite</w:t>
      </w:r>
      <w:r w:rsidR="00B50B40">
        <w:t xml:space="preserve"> thes</w:t>
      </w:r>
      <w:r w:rsidR="001276D4">
        <w:t xml:space="preserve">e differences, each account relies on the notion of divinity as that which is participated without itself participating. </w:t>
      </w:r>
    </w:p>
    <w:p w:rsidR="00161478" w:rsidRDefault="00161478" w:rsidP="00B90FE6">
      <w:pPr>
        <w:spacing w:line="480" w:lineRule="auto"/>
      </w:pPr>
    </w:p>
    <w:p w:rsidR="00161478" w:rsidRDefault="00C07392" w:rsidP="00B90FE6">
      <w:pPr>
        <w:spacing w:line="480" w:lineRule="auto"/>
      </w:pPr>
      <w:r>
        <w:rPr>
          <w:i/>
        </w:rPr>
        <w:t>Conclusion</w:t>
      </w:r>
    </w:p>
    <w:p w:rsidR="00444325" w:rsidRDefault="00444325" w:rsidP="00B90FE6">
      <w:pPr>
        <w:spacing w:line="480" w:lineRule="auto"/>
      </w:pPr>
      <w:r>
        <w:t xml:space="preserve">This chapter has highlighted </w:t>
      </w:r>
      <w:r w:rsidR="00C07392">
        <w:t>the formative role of Platonism in the making of Christian doctrine</w:t>
      </w:r>
      <w:r>
        <w:t>. Even if one grants this point, however</w:t>
      </w:r>
      <w:r w:rsidR="00C07392">
        <w:t xml:space="preserve">, it remains obviously true that not every element essential to pro-Nicene </w:t>
      </w:r>
      <w:r>
        <w:t xml:space="preserve">Trinitarian </w:t>
      </w:r>
      <w:r w:rsidR="00C07392">
        <w:t xml:space="preserve">thought stems from Platonism. The development of this doctrine was </w:t>
      </w:r>
      <w:r w:rsidR="00C07392">
        <w:lastRenderedPageBreak/>
        <w:t>rooted in the exegesis of the Christian scriptures, it was inextricably tied to the practice of baptism in the triune name, and it was shepherded by the institution of the Christian episcopacy, which since Constantine worked und</w:t>
      </w:r>
      <w:r>
        <w:t>er imperial patronage. E</w:t>
      </w:r>
      <w:r w:rsidR="00C07392">
        <w:t xml:space="preserve">ven on the conceptual level, </w:t>
      </w:r>
      <w:r>
        <w:t xml:space="preserve">we have seen differences between </w:t>
      </w:r>
      <w:r w:rsidR="00C07392">
        <w:t>the idea of three metaphysicall</w:t>
      </w:r>
      <w:r>
        <w:t>y co-ordinate hypostases and</w:t>
      </w:r>
      <w:r w:rsidR="00C07392">
        <w:t xml:space="preserve"> the absolutely undifferentiated first principle of Neoplatonism.</w:t>
      </w:r>
      <w:r w:rsidR="00C07392">
        <w:rPr>
          <w:rStyle w:val="FootnoteReference"/>
        </w:rPr>
        <w:footnoteReference w:id="84"/>
      </w:r>
      <w:r w:rsidR="00C07392">
        <w:t xml:space="preserve"> </w:t>
      </w:r>
      <w:r>
        <w:t xml:space="preserve">Although </w:t>
      </w:r>
      <w:r w:rsidR="0057128D">
        <w:t xml:space="preserve">a number of </w:t>
      </w:r>
      <w:r>
        <w:t>pro-</w:t>
      </w:r>
      <w:proofErr w:type="spellStart"/>
      <w:r w:rsidR="0057128D">
        <w:t>Nicenes</w:t>
      </w:r>
      <w:proofErr w:type="spellEnd"/>
      <w:r w:rsidR="0057128D">
        <w:t xml:space="preserve"> saw a harmony between</w:t>
      </w:r>
      <w:r>
        <w:t xml:space="preserve"> </w:t>
      </w:r>
      <w:r w:rsidR="0057128D">
        <w:t>the Father, Son, and Spirit and</w:t>
      </w:r>
      <w:r>
        <w:t xml:space="preserve"> the One, Nous, and Soul, Platonism’s greatest substantive influences on Christian Trinitarian theology lay in the area of participation metaphysics as well as in inspiring the more general theological dictum of divine immateriality and intelligibility. These ideas gave content to </w:t>
      </w:r>
      <w:r w:rsidR="007F7015">
        <w:t xml:space="preserve">how </w:t>
      </w:r>
      <w:r>
        <w:t xml:space="preserve">Christians </w:t>
      </w:r>
      <w:r w:rsidR="007F7015">
        <w:t>understood the relation b</w:t>
      </w:r>
      <w:r>
        <w:t xml:space="preserve">etween the triune Creator and the creation.   </w:t>
      </w:r>
    </w:p>
    <w:p w:rsidR="00444325" w:rsidRDefault="00444325" w:rsidP="00B90FE6">
      <w:pPr>
        <w:spacing w:line="480" w:lineRule="auto"/>
      </w:pPr>
    </w:p>
    <w:sectPr w:rsidR="0044432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C19" w:rsidRDefault="00914C19" w:rsidP="00615516">
      <w:r>
        <w:separator/>
      </w:r>
    </w:p>
  </w:endnote>
  <w:endnote w:type="continuationSeparator" w:id="0">
    <w:p w:rsidR="00914C19" w:rsidRDefault="00914C19" w:rsidP="0061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020077"/>
      <w:docPartObj>
        <w:docPartGallery w:val="Page Numbers (Bottom of Page)"/>
        <w:docPartUnique/>
      </w:docPartObj>
    </w:sdtPr>
    <w:sdtEndPr>
      <w:rPr>
        <w:noProof/>
      </w:rPr>
    </w:sdtEndPr>
    <w:sdtContent>
      <w:p w:rsidR="00BB2ADB" w:rsidRDefault="00BB2ADB">
        <w:pPr>
          <w:pStyle w:val="Footer"/>
          <w:jc w:val="center"/>
        </w:pPr>
        <w:r>
          <w:fldChar w:fldCharType="begin"/>
        </w:r>
        <w:r>
          <w:instrText xml:space="preserve"> PAGE   \* MERGEFORMAT </w:instrText>
        </w:r>
        <w:r>
          <w:fldChar w:fldCharType="separate"/>
        </w:r>
        <w:r w:rsidR="008011DD">
          <w:rPr>
            <w:noProof/>
          </w:rPr>
          <w:t>29</w:t>
        </w:r>
        <w:r>
          <w:rPr>
            <w:noProof/>
          </w:rPr>
          <w:fldChar w:fldCharType="end"/>
        </w:r>
      </w:p>
    </w:sdtContent>
  </w:sdt>
  <w:p w:rsidR="00BB2ADB" w:rsidRDefault="00BB2A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C19" w:rsidRDefault="00914C19" w:rsidP="00615516">
      <w:r>
        <w:separator/>
      </w:r>
    </w:p>
  </w:footnote>
  <w:footnote w:type="continuationSeparator" w:id="0">
    <w:p w:rsidR="00914C19" w:rsidRDefault="00914C19" w:rsidP="00615516">
      <w:r>
        <w:continuationSeparator/>
      </w:r>
    </w:p>
  </w:footnote>
  <w:footnote w:id="1">
    <w:p w:rsidR="00615516" w:rsidRPr="009B5D10" w:rsidRDefault="00615516" w:rsidP="00615516">
      <w:pPr>
        <w:pStyle w:val="FootnoteText"/>
        <w:rPr>
          <w:sz w:val="24"/>
          <w:szCs w:val="24"/>
        </w:rPr>
      </w:pPr>
      <w:r w:rsidRPr="009B5D10">
        <w:rPr>
          <w:rStyle w:val="FootnoteReference"/>
          <w:sz w:val="24"/>
          <w:szCs w:val="24"/>
        </w:rPr>
        <w:footnoteRef/>
      </w:r>
      <w:r w:rsidRPr="009B5D10">
        <w:rPr>
          <w:sz w:val="24"/>
          <w:szCs w:val="24"/>
        </w:rPr>
        <w:t xml:space="preserve"> Plotinus, </w:t>
      </w:r>
      <w:proofErr w:type="spellStart"/>
      <w:r w:rsidRPr="009B5D10">
        <w:rPr>
          <w:i/>
          <w:sz w:val="24"/>
          <w:szCs w:val="24"/>
        </w:rPr>
        <w:t>Enn</w:t>
      </w:r>
      <w:proofErr w:type="spellEnd"/>
      <w:r w:rsidRPr="009B5D10">
        <w:rPr>
          <w:sz w:val="24"/>
          <w:szCs w:val="24"/>
        </w:rPr>
        <w:t>. 5.1.8</w:t>
      </w:r>
      <w:r w:rsidR="00121E63" w:rsidRPr="009B5D10">
        <w:rPr>
          <w:sz w:val="24"/>
          <w:szCs w:val="24"/>
        </w:rPr>
        <w:t xml:space="preserve">.4, </w:t>
      </w:r>
      <w:r w:rsidRPr="009B5D10">
        <w:rPr>
          <w:sz w:val="24"/>
          <w:szCs w:val="24"/>
        </w:rPr>
        <w:t xml:space="preserve">quoting Plato, </w:t>
      </w:r>
      <w:r w:rsidRPr="009B5D10">
        <w:rPr>
          <w:i/>
          <w:sz w:val="24"/>
          <w:szCs w:val="24"/>
        </w:rPr>
        <w:t>ep</w:t>
      </w:r>
      <w:r w:rsidRPr="009B5D10">
        <w:rPr>
          <w:sz w:val="24"/>
          <w:szCs w:val="24"/>
        </w:rPr>
        <w:t xml:space="preserve">. 6, </w:t>
      </w:r>
      <w:r w:rsidR="00121E63" w:rsidRPr="009B5D10">
        <w:rPr>
          <w:sz w:val="24"/>
          <w:szCs w:val="24"/>
        </w:rPr>
        <w:t>323d4</w:t>
      </w:r>
      <w:r w:rsidRPr="009B5D10">
        <w:rPr>
          <w:sz w:val="24"/>
          <w:szCs w:val="24"/>
        </w:rPr>
        <w:t>.</w:t>
      </w:r>
    </w:p>
  </w:footnote>
  <w:footnote w:id="2">
    <w:p w:rsidR="009E115B" w:rsidRPr="009B5D10" w:rsidRDefault="009E115B">
      <w:pPr>
        <w:pStyle w:val="FootnoteText"/>
        <w:rPr>
          <w:sz w:val="24"/>
          <w:szCs w:val="24"/>
        </w:rPr>
      </w:pPr>
      <w:r w:rsidRPr="009B5D10">
        <w:rPr>
          <w:rStyle w:val="FootnoteReference"/>
          <w:sz w:val="24"/>
          <w:szCs w:val="24"/>
        </w:rPr>
        <w:footnoteRef/>
      </w:r>
      <w:r w:rsidRPr="009B5D10">
        <w:rPr>
          <w:sz w:val="24"/>
          <w:szCs w:val="24"/>
        </w:rPr>
        <w:t xml:space="preserve"> </w:t>
      </w:r>
      <w:proofErr w:type="spellStart"/>
      <w:r w:rsidRPr="009B5D10">
        <w:rPr>
          <w:i/>
          <w:sz w:val="24"/>
          <w:szCs w:val="24"/>
        </w:rPr>
        <w:t>Quicumque</w:t>
      </w:r>
      <w:proofErr w:type="spellEnd"/>
      <w:r w:rsidRPr="009B5D10">
        <w:rPr>
          <w:i/>
          <w:sz w:val="24"/>
          <w:szCs w:val="24"/>
        </w:rPr>
        <w:t xml:space="preserve"> </w:t>
      </w:r>
      <w:proofErr w:type="spellStart"/>
      <w:r w:rsidRPr="009B5D10">
        <w:rPr>
          <w:i/>
          <w:sz w:val="24"/>
          <w:szCs w:val="24"/>
        </w:rPr>
        <w:t>vult</w:t>
      </w:r>
      <w:proofErr w:type="spellEnd"/>
      <w:r w:rsidRPr="009B5D10">
        <w:rPr>
          <w:sz w:val="24"/>
          <w:szCs w:val="24"/>
        </w:rPr>
        <w:t xml:space="preserve"> </w:t>
      </w:r>
      <w:r w:rsidR="00F9253A" w:rsidRPr="009B5D10">
        <w:rPr>
          <w:sz w:val="24"/>
          <w:szCs w:val="24"/>
        </w:rPr>
        <w:t>(4 Burn)</w:t>
      </w:r>
      <w:r w:rsidRPr="009B5D10">
        <w:rPr>
          <w:sz w:val="24"/>
          <w:szCs w:val="24"/>
        </w:rPr>
        <w:t xml:space="preserve">. </w:t>
      </w:r>
    </w:p>
  </w:footnote>
  <w:footnote w:id="3">
    <w:p w:rsidR="00125316" w:rsidRPr="009B5D10" w:rsidRDefault="00125316">
      <w:pPr>
        <w:pStyle w:val="FootnoteText"/>
        <w:rPr>
          <w:sz w:val="24"/>
          <w:szCs w:val="24"/>
        </w:rPr>
      </w:pPr>
      <w:r w:rsidRPr="009B5D10">
        <w:rPr>
          <w:rStyle w:val="FootnoteReference"/>
          <w:sz w:val="24"/>
          <w:szCs w:val="24"/>
        </w:rPr>
        <w:footnoteRef/>
      </w:r>
      <w:r w:rsidR="00DD264D" w:rsidRPr="009B5D10">
        <w:rPr>
          <w:sz w:val="24"/>
          <w:szCs w:val="24"/>
        </w:rPr>
        <w:t xml:space="preserve"> See John Dillon, “Logos and Trinity: Patterns of Platonist Influence on early Christianity,” in Godfrey Vesey, </w:t>
      </w:r>
      <w:proofErr w:type="gramStart"/>
      <w:r w:rsidR="00DD264D" w:rsidRPr="009B5D10">
        <w:rPr>
          <w:sz w:val="24"/>
          <w:szCs w:val="24"/>
        </w:rPr>
        <w:t>ed</w:t>
      </w:r>
      <w:proofErr w:type="gramEnd"/>
      <w:r w:rsidR="00DD264D" w:rsidRPr="009B5D10">
        <w:rPr>
          <w:sz w:val="24"/>
          <w:szCs w:val="24"/>
        </w:rPr>
        <w:t xml:space="preserve">. </w:t>
      </w:r>
      <w:r w:rsidR="00DD264D" w:rsidRPr="009B5D10">
        <w:rPr>
          <w:i/>
          <w:sz w:val="24"/>
          <w:szCs w:val="24"/>
        </w:rPr>
        <w:t>The Philosophy in Christianity</w:t>
      </w:r>
      <w:r w:rsidR="00DD264D" w:rsidRPr="009B5D10">
        <w:rPr>
          <w:sz w:val="24"/>
          <w:szCs w:val="24"/>
        </w:rPr>
        <w:t xml:space="preserve"> (Cambridge: Cambridge University Press, 1989), 1–13</w:t>
      </w:r>
      <w:r w:rsidR="005403CC" w:rsidRPr="009B5D10">
        <w:rPr>
          <w:sz w:val="24"/>
          <w:szCs w:val="24"/>
        </w:rPr>
        <w:t>;</w:t>
      </w:r>
      <w:r w:rsidR="005B4746" w:rsidRPr="009B5D10">
        <w:rPr>
          <w:sz w:val="24"/>
          <w:szCs w:val="24"/>
        </w:rPr>
        <w:t xml:space="preserve"> John D. Turner, “The Platonizing </w:t>
      </w:r>
      <w:proofErr w:type="spellStart"/>
      <w:r w:rsidR="005B4746" w:rsidRPr="009B5D10">
        <w:rPr>
          <w:sz w:val="24"/>
          <w:szCs w:val="24"/>
        </w:rPr>
        <w:t>Sethian</w:t>
      </w:r>
      <w:proofErr w:type="spellEnd"/>
      <w:r w:rsidR="005B4746" w:rsidRPr="009B5D10">
        <w:rPr>
          <w:sz w:val="24"/>
          <w:szCs w:val="24"/>
        </w:rPr>
        <w:t xml:space="preserve"> Treatises, Marius </w:t>
      </w:r>
      <w:proofErr w:type="spellStart"/>
      <w:r w:rsidR="005B4746" w:rsidRPr="009B5D10">
        <w:rPr>
          <w:sz w:val="24"/>
          <w:szCs w:val="24"/>
        </w:rPr>
        <w:t>Victorinus’s</w:t>
      </w:r>
      <w:proofErr w:type="spellEnd"/>
      <w:r w:rsidR="005B4746" w:rsidRPr="009B5D10">
        <w:rPr>
          <w:sz w:val="24"/>
          <w:szCs w:val="24"/>
        </w:rPr>
        <w:t xml:space="preserve"> Philosophical Sources, and Pre-</w:t>
      </w:r>
      <w:proofErr w:type="spellStart"/>
      <w:r w:rsidR="005B4746" w:rsidRPr="009B5D10">
        <w:rPr>
          <w:sz w:val="24"/>
          <w:szCs w:val="24"/>
        </w:rPr>
        <w:t>Plotinian</w:t>
      </w:r>
      <w:proofErr w:type="spellEnd"/>
      <w:r w:rsidR="005B4746" w:rsidRPr="009B5D10">
        <w:rPr>
          <w:sz w:val="24"/>
          <w:szCs w:val="24"/>
        </w:rPr>
        <w:t xml:space="preserve"> </w:t>
      </w:r>
      <w:r w:rsidR="005B4746" w:rsidRPr="009B5D10">
        <w:rPr>
          <w:i/>
          <w:sz w:val="24"/>
          <w:szCs w:val="24"/>
        </w:rPr>
        <w:t>Parmenides</w:t>
      </w:r>
      <w:r w:rsidR="00FB719B" w:rsidRPr="009B5D10">
        <w:rPr>
          <w:sz w:val="24"/>
          <w:szCs w:val="24"/>
        </w:rPr>
        <w:t xml:space="preserve"> Commentaries,” in John D. Turner and Kevin Corrigan, eds. </w:t>
      </w:r>
      <w:r w:rsidR="00FB719B" w:rsidRPr="009B5D10">
        <w:rPr>
          <w:i/>
          <w:sz w:val="24"/>
          <w:szCs w:val="24"/>
        </w:rPr>
        <w:t xml:space="preserve">Plato’s </w:t>
      </w:r>
      <w:r w:rsidR="00FB719B" w:rsidRPr="009B5D10">
        <w:rPr>
          <w:i/>
          <w:sz w:val="24"/>
          <w:szCs w:val="24"/>
          <w:u w:val="single"/>
        </w:rPr>
        <w:t>Parmenides</w:t>
      </w:r>
      <w:r w:rsidR="00FB719B" w:rsidRPr="009B5D10">
        <w:rPr>
          <w:i/>
          <w:sz w:val="24"/>
          <w:szCs w:val="24"/>
        </w:rPr>
        <w:t xml:space="preserve"> and its Heritage, Volume 1: History and Interpretation from the Old Academy to Later Platonism and Gnosticism</w:t>
      </w:r>
      <w:r w:rsidR="00FB719B" w:rsidRPr="009B5D10">
        <w:rPr>
          <w:sz w:val="24"/>
          <w:szCs w:val="24"/>
        </w:rPr>
        <w:t xml:space="preserve">, Writings from the Greco-Roman World Supplements 2 (Atlanta: Society of Biblical Literature Publications, 2010), </w:t>
      </w:r>
      <w:r w:rsidR="005B4746" w:rsidRPr="009B5D10">
        <w:rPr>
          <w:sz w:val="24"/>
          <w:szCs w:val="24"/>
        </w:rPr>
        <w:t>131–72;</w:t>
      </w:r>
      <w:r w:rsidR="005403CC" w:rsidRPr="009B5D10">
        <w:rPr>
          <w:sz w:val="24"/>
          <w:szCs w:val="24"/>
        </w:rPr>
        <w:t xml:space="preserve"> </w:t>
      </w:r>
      <w:r w:rsidR="00FB719B" w:rsidRPr="009B5D10">
        <w:rPr>
          <w:sz w:val="24"/>
          <w:szCs w:val="24"/>
        </w:rPr>
        <w:t xml:space="preserve">cf. </w:t>
      </w:r>
      <w:r w:rsidR="005403CC" w:rsidRPr="009B5D10">
        <w:rPr>
          <w:sz w:val="24"/>
          <w:szCs w:val="24"/>
        </w:rPr>
        <w:t xml:space="preserve">Augustine, </w:t>
      </w:r>
      <w:r w:rsidR="005403CC" w:rsidRPr="009B5D10">
        <w:rPr>
          <w:i/>
          <w:sz w:val="24"/>
          <w:szCs w:val="24"/>
        </w:rPr>
        <w:t>Confessions</w:t>
      </w:r>
      <w:r w:rsidR="005403CC" w:rsidRPr="009B5D10">
        <w:rPr>
          <w:sz w:val="24"/>
          <w:szCs w:val="24"/>
        </w:rPr>
        <w:t xml:space="preserve"> XIII.xi.12</w:t>
      </w:r>
      <w:r w:rsidRPr="009B5D10">
        <w:rPr>
          <w:sz w:val="24"/>
          <w:szCs w:val="24"/>
        </w:rPr>
        <w:t xml:space="preserve">. </w:t>
      </w:r>
    </w:p>
  </w:footnote>
  <w:footnote w:id="4">
    <w:p w:rsidR="00634304" w:rsidRPr="009B5D10" w:rsidRDefault="00634304" w:rsidP="00634304">
      <w:pPr>
        <w:pStyle w:val="FootnoteText"/>
        <w:rPr>
          <w:sz w:val="24"/>
          <w:szCs w:val="24"/>
        </w:rPr>
      </w:pPr>
      <w:r w:rsidRPr="009B5D10">
        <w:rPr>
          <w:rStyle w:val="FootnoteReference"/>
          <w:sz w:val="24"/>
          <w:szCs w:val="24"/>
        </w:rPr>
        <w:footnoteRef/>
      </w:r>
      <w:r w:rsidRPr="009B5D10">
        <w:rPr>
          <w:sz w:val="24"/>
          <w:szCs w:val="24"/>
        </w:rPr>
        <w:t xml:space="preserve"> </w:t>
      </w:r>
      <w:proofErr w:type="spellStart"/>
      <w:r w:rsidRPr="009B5D10">
        <w:rPr>
          <w:sz w:val="24"/>
          <w:szCs w:val="24"/>
        </w:rPr>
        <w:t>Athenagoras</w:t>
      </w:r>
      <w:proofErr w:type="spellEnd"/>
      <w:r w:rsidRPr="009B5D10">
        <w:rPr>
          <w:sz w:val="24"/>
          <w:szCs w:val="24"/>
        </w:rPr>
        <w:t xml:space="preserve">, </w:t>
      </w:r>
      <w:r w:rsidRPr="009B5D10">
        <w:rPr>
          <w:i/>
          <w:sz w:val="24"/>
          <w:szCs w:val="24"/>
        </w:rPr>
        <w:t>Leg</w:t>
      </w:r>
      <w:r w:rsidR="00900EDA" w:rsidRPr="009B5D10">
        <w:rPr>
          <w:sz w:val="24"/>
          <w:szCs w:val="24"/>
        </w:rPr>
        <w:t>. 6.2 (</w:t>
      </w:r>
      <w:r w:rsidRPr="009B5D10">
        <w:rPr>
          <w:sz w:val="24"/>
          <w:szCs w:val="24"/>
        </w:rPr>
        <w:t>12</w:t>
      </w:r>
      <w:r w:rsidR="00900EDA" w:rsidRPr="009B5D10">
        <w:rPr>
          <w:sz w:val="24"/>
          <w:szCs w:val="24"/>
        </w:rPr>
        <w:t xml:space="preserve"> </w:t>
      </w:r>
      <w:proofErr w:type="spellStart"/>
      <w:r w:rsidR="00900EDA" w:rsidRPr="009B5D10">
        <w:rPr>
          <w:sz w:val="24"/>
          <w:szCs w:val="24"/>
        </w:rPr>
        <w:t>Schoedel</w:t>
      </w:r>
      <w:proofErr w:type="spellEnd"/>
      <w:r w:rsidRPr="009B5D10">
        <w:rPr>
          <w:sz w:val="24"/>
          <w:szCs w:val="24"/>
        </w:rPr>
        <w:t xml:space="preserve">). </w:t>
      </w:r>
      <w:proofErr w:type="spellStart"/>
      <w:r w:rsidRPr="009B5D10">
        <w:rPr>
          <w:sz w:val="24"/>
          <w:szCs w:val="24"/>
        </w:rPr>
        <w:t>Athenagoras</w:t>
      </w:r>
      <w:proofErr w:type="spellEnd"/>
      <w:r w:rsidRPr="009B5D10">
        <w:rPr>
          <w:sz w:val="24"/>
          <w:szCs w:val="24"/>
        </w:rPr>
        <w:t xml:space="preserve"> does not directly ascribe any position on matter to Plato, but when he summarizes his own Christian position on it, his phrase “unqualified nature” (</w:t>
      </w:r>
      <w:r w:rsidRPr="009B5D10">
        <w:rPr>
          <w:sz w:val="24"/>
          <w:szCs w:val="24"/>
          <w:lang w:val="el-GR"/>
        </w:rPr>
        <w:t>ἀποίου</w:t>
      </w:r>
      <w:r w:rsidRPr="009B5D10">
        <w:rPr>
          <w:sz w:val="24"/>
          <w:szCs w:val="24"/>
        </w:rPr>
        <w:t xml:space="preserve"> </w:t>
      </w:r>
      <w:r w:rsidRPr="009B5D10">
        <w:rPr>
          <w:sz w:val="24"/>
          <w:szCs w:val="24"/>
          <w:lang w:val="el-GR"/>
        </w:rPr>
        <w:t>φύσεως</w:t>
      </w:r>
      <w:r w:rsidR="00900EDA" w:rsidRPr="009B5D10">
        <w:rPr>
          <w:sz w:val="24"/>
          <w:szCs w:val="24"/>
        </w:rPr>
        <w:t xml:space="preserve">) corresponds to </w:t>
      </w:r>
      <w:proofErr w:type="spellStart"/>
      <w:r w:rsidRPr="009B5D10">
        <w:rPr>
          <w:sz w:val="24"/>
          <w:szCs w:val="24"/>
        </w:rPr>
        <w:t>Alcinous</w:t>
      </w:r>
      <w:proofErr w:type="spellEnd"/>
      <w:r w:rsidR="00900EDA" w:rsidRPr="009B5D10">
        <w:rPr>
          <w:sz w:val="24"/>
          <w:szCs w:val="24"/>
        </w:rPr>
        <w:t xml:space="preserve">, who calls matter </w:t>
      </w:r>
      <w:r w:rsidR="00900EDA" w:rsidRPr="009B5D10">
        <w:rPr>
          <w:sz w:val="24"/>
          <w:szCs w:val="24"/>
          <w:lang w:val="el-GR"/>
        </w:rPr>
        <w:t>ἄποιον</w:t>
      </w:r>
      <w:r w:rsidRPr="009B5D10">
        <w:rPr>
          <w:sz w:val="24"/>
          <w:szCs w:val="24"/>
        </w:rPr>
        <w:t xml:space="preserve">: </w:t>
      </w:r>
      <w:r w:rsidRPr="009B5D10">
        <w:rPr>
          <w:i/>
          <w:sz w:val="24"/>
          <w:szCs w:val="24"/>
        </w:rPr>
        <w:t>Leg</w:t>
      </w:r>
      <w:r w:rsidR="00900EDA" w:rsidRPr="009B5D10">
        <w:rPr>
          <w:sz w:val="24"/>
          <w:szCs w:val="24"/>
        </w:rPr>
        <w:t>. 10.3 (</w:t>
      </w:r>
      <w:r w:rsidRPr="009B5D10">
        <w:rPr>
          <w:sz w:val="24"/>
          <w:szCs w:val="24"/>
        </w:rPr>
        <w:t>22</w:t>
      </w:r>
      <w:r w:rsidR="00900EDA" w:rsidRPr="009B5D10">
        <w:rPr>
          <w:sz w:val="24"/>
          <w:szCs w:val="24"/>
        </w:rPr>
        <w:t xml:space="preserve"> </w:t>
      </w:r>
      <w:proofErr w:type="spellStart"/>
      <w:r w:rsidR="00900EDA" w:rsidRPr="009B5D10">
        <w:rPr>
          <w:sz w:val="24"/>
          <w:szCs w:val="24"/>
        </w:rPr>
        <w:t>Schoedel</w:t>
      </w:r>
      <w:proofErr w:type="spellEnd"/>
      <w:r w:rsidRPr="009B5D10">
        <w:rPr>
          <w:sz w:val="24"/>
          <w:szCs w:val="24"/>
        </w:rPr>
        <w:t xml:space="preserve">); </w:t>
      </w:r>
      <w:proofErr w:type="spellStart"/>
      <w:r w:rsidRPr="009B5D10">
        <w:rPr>
          <w:sz w:val="24"/>
          <w:szCs w:val="24"/>
        </w:rPr>
        <w:t>Alcinous</w:t>
      </w:r>
      <w:proofErr w:type="spellEnd"/>
      <w:r w:rsidRPr="009B5D10">
        <w:rPr>
          <w:sz w:val="24"/>
          <w:szCs w:val="24"/>
        </w:rPr>
        <w:t xml:space="preserve">, </w:t>
      </w:r>
      <w:proofErr w:type="spellStart"/>
      <w:r w:rsidRPr="009B5D10">
        <w:rPr>
          <w:i/>
          <w:sz w:val="24"/>
          <w:szCs w:val="24"/>
        </w:rPr>
        <w:t>Didaskalikon</w:t>
      </w:r>
      <w:proofErr w:type="spellEnd"/>
      <w:r w:rsidR="008B5BDE">
        <w:rPr>
          <w:sz w:val="24"/>
          <w:szCs w:val="24"/>
        </w:rPr>
        <w:t xml:space="preserve"> 8, 162.36 (19 Whittaker)</w:t>
      </w:r>
      <w:r w:rsidRPr="009B5D10">
        <w:rPr>
          <w:sz w:val="24"/>
          <w:szCs w:val="24"/>
        </w:rPr>
        <w:t>.</w:t>
      </w:r>
    </w:p>
  </w:footnote>
  <w:footnote w:id="5">
    <w:p w:rsidR="00634304" w:rsidRPr="009B5D10" w:rsidRDefault="00634304" w:rsidP="00634304">
      <w:pPr>
        <w:pStyle w:val="FootnoteText"/>
        <w:rPr>
          <w:sz w:val="24"/>
          <w:szCs w:val="24"/>
        </w:rPr>
      </w:pPr>
      <w:r w:rsidRPr="009B5D10">
        <w:rPr>
          <w:rStyle w:val="FootnoteReference"/>
          <w:sz w:val="24"/>
          <w:szCs w:val="24"/>
        </w:rPr>
        <w:footnoteRef/>
      </w:r>
      <w:r w:rsidRPr="009B5D10">
        <w:rPr>
          <w:sz w:val="24"/>
          <w:szCs w:val="24"/>
        </w:rPr>
        <w:t xml:space="preserve"> </w:t>
      </w:r>
      <w:proofErr w:type="spellStart"/>
      <w:r w:rsidRPr="009B5D10">
        <w:rPr>
          <w:sz w:val="24"/>
          <w:szCs w:val="24"/>
        </w:rPr>
        <w:t>Athenagoras</w:t>
      </w:r>
      <w:proofErr w:type="spellEnd"/>
      <w:r w:rsidRPr="009B5D10">
        <w:rPr>
          <w:sz w:val="24"/>
          <w:szCs w:val="24"/>
        </w:rPr>
        <w:t xml:space="preserve">, </w:t>
      </w:r>
      <w:r w:rsidRPr="009B5D10">
        <w:rPr>
          <w:i/>
          <w:sz w:val="24"/>
          <w:szCs w:val="24"/>
        </w:rPr>
        <w:t>Leg</w:t>
      </w:r>
      <w:r w:rsidR="00AA0ABF" w:rsidRPr="009B5D10">
        <w:rPr>
          <w:sz w:val="24"/>
          <w:szCs w:val="24"/>
        </w:rPr>
        <w:t>. 10.1 (</w:t>
      </w:r>
      <w:r w:rsidRPr="009B5D10">
        <w:rPr>
          <w:sz w:val="24"/>
          <w:szCs w:val="24"/>
        </w:rPr>
        <w:t>20</w:t>
      </w:r>
      <w:r w:rsidR="00AA0ABF" w:rsidRPr="009B5D10">
        <w:rPr>
          <w:sz w:val="24"/>
          <w:szCs w:val="24"/>
        </w:rPr>
        <w:t xml:space="preserve"> </w:t>
      </w:r>
      <w:proofErr w:type="spellStart"/>
      <w:r w:rsidR="00AA0ABF" w:rsidRPr="009B5D10">
        <w:rPr>
          <w:sz w:val="24"/>
          <w:szCs w:val="24"/>
        </w:rPr>
        <w:t>Schoedel</w:t>
      </w:r>
      <w:proofErr w:type="spellEnd"/>
      <w:r w:rsidRPr="009B5D10">
        <w:rPr>
          <w:sz w:val="24"/>
          <w:szCs w:val="24"/>
        </w:rPr>
        <w:t>).</w:t>
      </w:r>
    </w:p>
  </w:footnote>
  <w:footnote w:id="6">
    <w:p w:rsidR="00634304" w:rsidRPr="009B5D10" w:rsidRDefault="00634304" w:rsidP="00634304">
      <w:pPr>
        <w:pStyle w:val="FootnoteText"/>
        <w:rPr>
          <w:sz w:val="24"/>
          <w:szCs w:val="24"/>
        </w:rPr>
      </w:pPr>
      <w:r w:rsidRPr="009B5D10">
        <w:rPr>
          <w:rStyle w:val="FootnoteReference"/>
          <w:sz w:val="24"/>
          <w:szCs w:val="24"/>
        </w:rPr>
        <w:footnoteRef/>
      </w:r>
      <w:r w:rsidRPr="009B5D10">
        <w:rPr>
          <w:sz w:val="24"/>
          <w:szCs w:val="24"/>
        </w:rPr>
        <w:t xml:space="preserve"> </w:t>
      </w:r>
      <w:proofErr w:type="spellStart"/>
      <w:r w:rsidRPr="009B5D10">
        <w:rPr>
          <w:sz w:val="24"/>
          <w:szCs w:val="24"/>
        </w:rPr>
        <w:t>Alcinous</w:t>
      </w:r>
      <w:proofErr w:type="spellEnd"/>
      <w:r w:rsidRPr="009B5D10">
        <w:rPr>
          <w:sz w:val="24"/>
          <w:szCs w:val="24"/>
        </w:rPr>
        <w:t xml:space="preserve">, </w:t>
      </w:r>
      <w:proofErr w:type="spellStart"/>
      <w:r w:rsidRPr="009B5D10">
        <w:rPr>
          <w:i/>
          <w:sz w:val="24"/>
          <w:szCs w:val="24"/>
        </w:rPr>
        <w:t>Didaskalikon</w:t>
      </w:r>
      <w:proofErr w:type="spellEnd"/>
      <w:r w:rsidR="00900EDA" w:rsidRPr="009B5D10">
        <w:rPr>
          <w:sz w:val="24"/>
          <w:szCs w:val="24"/>
        </w:rPr>
        <w:t xml:space="preserve"> 10, 165.5 (23 Whittaker)</w:t>
      </w:r>
      <w:r w:rsidRPr="009B5D10">
        <w:rPr>
          <w:sz w:val="24"/>
          <w:szCs w:val="24"/>
        </w:rPr>
        <w:t>.</w:t>
      </w:r>
    </w:p>
  </w:footnote>
  <w:footnote w:id="7">
    <w:p w:rsidR="00634304" w:rsidRPr="009B5D10" w:rsidRDefault="00634304" w:rsidP="00634304">
      <w:pPr>
        <w:pStyle w:val="FootnoteText"/>
        <w:rPr>
          <w:sz w:val="24"/>
          <w:szCs w:val="24"/>
        </w:rPr>
      </w:pPr>
      <w:r w:rsidRPr="009B5D10">
        <w:rPr>
          <w:rStyle w:val="FootnoteReference"/>
          <w:sz w:val="24"/>
          <w:szCs w:val="24"/>
        </w:rPr>
        <w:footnoteRef/>
      </w:r>
      <w:r w:rsidRPr="009B5D10">
        <w:rPr>
          <w:sz w:val="24"/>
          <w:szCs w:val="24"/>
        </w:rPr>
        <w:t xml:space="preserve"> </w:t>
      </w:r>
      <w:proofErr w:type="spellStart"/>
      <w:r w:rsidRPr="009B5D10">
        <w:rPr>
          <w:sz w:val="24"/>
          <w:szCs w:val="24"/>
        </w:rPr>
        <w:t>Athenagoras</w:t>
      </w:r>
      <w:proofErr w:type="spellEnd"/>
      <w:r w:rsidRPr="009B5D10">
        <w:rPr>
          <w:sz w:val="24"/>
          <w:szCs w:val="24"/>
        </w:rPr>
        <w:t xml:space="preserve">, </w:t>
      </w:r>
      <w:r w:rsidRPr="009B5D10">
        <w:rPr>
          <w:i/>
          <w:sz w:val="24"/>
          <w:szCs w:val="24"/>
        </w:rPr>
        <w:t>Leg</w:t>
      </w:r>
      <w:r w:rsidR="00AA0ABF" w:rsidRPr="009B5D10">
        <w:rPr>
          <w:sz w:val="24"/>
          <w:szCs w:val="24"/>
        </w:rPr>
        <w:t>. 10.2 (</w:t>
      </w:r>
      <w:r w:rsidRPr="009B5D10">
        <w:rPr>
          <w:sz w:val="24"/>
          <w:szCs w:val="24"/>
        </w:rPr>
        <w:t>20</w:t>
      </w:r>
      <w:r w:rsidR="00AA0ABF" w:rsidRPr="009B5D10">
        <w:rPr>
          <w:sz w:val="24"/>
          <w:szCs w:val="24"/>
        </w:rPr>
        <w:t xml:space="preserve"> </w:t>
      </w:r>
      <w:proofErr w:type="spellStart"/>
      <w:r w:rsidR="00AA0ABF" w:rsidRPr="009B5D10">
        <w:rPr>
          <w:sz w:val="24"/>
          <w:szCs w:val="24"/>
        </w:rPr>
        <w:t>Schoedel</w:t>
      </w:r>
      <w:proofErr w:type="spellEnd"/>
      <w:r w:rsidRPr="009B5D10">
        <w:rPr>
          <w:sz w:val="24"/>
          <w:szCs w:val="24"/>
        </w:rPr>
        <w:t>).</w:t>
      </w:r>
    </w:p>
  </w:footnote>
  <w:footnote w:id="8">
    <w:p w:rsidR="00634304" w:rsidRPr="009B5D10" w:rsidRDefault="00634304" w:rsidP="00634304">
      <w:pPr>
        <w:pStyle w:val="FootnoteText"/>
        <w:rPr>
          <w:sz w:val="24"/>
          <w:szCs w:val="24"/>
        </w:rPr>
      </w:pPr>
      <w:r w:rsidRPr="009B5D10">
        <w:rPr>
          <w:rStyle w:val="FootnoteReference"/>
          <w:sz w:val="24"/>
          <w:szCs w:val="24"/>
        </w:rPr>
        <w:footnoteRef/>
      </w:r>
      <w:r w:rsidRPr="009B5D10">
        <w:rPr>
          <w:sz w:val="24"/>
          <w:szCs w:val="24"/>
        </w:rPr>
        <w:t xml:space="preserve"> </w:t>
      </w:r>
      <w:proofErr w:type="spellStart"/>
      <w:r w:rsidRPr="009B5D10">
        <w:rPr>
          <w:sz w:val="24"/>
          <w:szCs w:val="24"/>
        </w:rPr>
        <w:t>Athenagoras</w:t>
      </w:r>
      <w:proofErr w:type="spellEnd"/>
      <w:r w:rsidRPr="009B5D10">
        <w:rPr>
          <w:sz w:val="24"/>
          <w:szCs w:val="24"/>
        </w:rPr>
        <w:t xml:space="preserve">, </w:t>
      </w:r>
      <w:r w:rsidRPr="009B5D10">
        <w:rPr>
          <w:i/>
          <w:sz w:val="24"/>
          <w:szCs w:val="24"/>
        </w:rPr>
        <w:t>Leg</w:t>
      </w:r>
      <w:r w:rsidRPr="009B5D10">
        <w:rPr>
          <w:sz w:val="24"/>
          <w:szCs w:val="24"/>
        </w:rPr>
        <w:t>. 10.3 (22</w:t>
      </w:r>
      <w:r w:rsidR="00AA0ABF" w:rsidRPr="009B5D10">
        <w:rPr>
          <w:sz w:val="24"/>
          <w:szCs w:val="24"/>
        </w:rPr>
        <w:t xml:space="preserve"> </w:t>
      </w:r>
      <w:proofErr w:type="spellStart"/>
      <w:r w:rsidR="00AA0ABF" w:rsidRPr="009B5D10">
        <w:rPr>
          <w:sz w:val="24"/>
          <w:szCs w:val="24"/>
        </w:rPr>
        <w:t>Schoedel</w:t>
      </w:r>
      <w:proofErr w:type="spellEnd"/>
      <w:r w:rsidRPr="009B5D10">
        <w:rPr>
          <w:sz w:val="24"/>
          <w:szCs w:val="24"/>
        </w:rPr>
        <w:t>).</w:t>
      </w:r>
    </w:p>
  </w:footnote>
  <w:footnote w:id="9">
    <w:p w:rsidR="001719BF" w:rsidRPr="009B5D10" w:rsidRDefault="001719BF">
      <w:pPr>
        <w:pStyle w:val="FootnoteText"/>
        <w:rPr>
          <w:sz w:val="24"/>
          <w:szCs w:val="24"/>
        </w:rPr>
      </w:pPr>
      <w:r w:rsidRPr="009B5D10">
        <w:rPr>
          <w:rStyle w:val="FootnoteReference"/>
          <w:sz w:val="24"/>
          <w:szCs w:val="24"/>
        </w:rPr>
        <w:footnoteRef/>
      </w:r>
      <w:r w:rsidRPr="009B5D10">
        <w:rPr>
          <w:sz w:val="24"/>
          <w:szCs w:val="24"/>
        </w:rPr>
        <w:t xml:space="preserve"> </w:t>
      </w:r>
      <w:proofErr w:type="spellStart"/>
      <w:r w:rsidRPr="009B5D10">
        <w:rPr>
          <w:sz w:val="24"/>
          <w:szCs w:val="24"/>
        </w:rPr>
        <w:t>Theophilus</w:t>
      </w:r>
      <w:proofErr w:type="spellEnd"/>
      <w:r w:rsidRPr="009B5D10">
        <w:rPr>
          <w:sz w:val="24"/>
          <w:szCs w:val="24"/>
        </w:rPr>
        <w:t xml:space="preserve">, </w:t>
      </w:r>
      <w:r w:rsidRPr="009B5D10">
        <w:rPr>
          <w:i/>
          <w:sz w:val="24"/>
          <w:szCs w:val="24"/>
        </w:rPr>
        <w:t xml:space="preserve">Ad </w:t>
      </w:r>
      <w:proofErr w:type="spellStart"/>
      <w:r w:rsidRPr="009B5D10">
        <w:rPr>
          <w:i/>
          <w:sz w:val="24"/>
          <w:szCs w:val="24"/>
        </w:rPr>
        <w:t>Autolycum</w:t>
      </w:r>
      <w:proofErr w:type="spellEnd"/>
      <w:r w:rsidR="009422D7" w:rsidRPr="009B5D10">
        <w:rPr>
          <w:sz w:val="24"/>
          <w:szCs w:val="24"/>
        </w:rPr>
        <w:t xml:space="preserve"> 2.4 (26</w:t>
      </w:r>
      <w:r w:rsidRPr="009B5D10">
        <w:rPr>
          <w:sz w:val="24"/>
          <w:szCs w:val="24"/>
        </w:rPr>
        <w:t xml:space="preserve"> Grant).</w:t>
      </w:r>
    </w:p>
  </w:footnote>
  <w:footnote w:id="10">
    <w:p w:rsidR="00BA5C0F" w:rsidRPr="009B5D10" w:rsidRDefault="00BA5C0F">
      <w:pPr>
        <w:pStyle w:val="FootnoteText"/>
        <w:rPr>
          <w:sz w:val="24"/>
          <w:szCs w:val="24"/>
        </w:rPr>
      </w:pPr>
      <w:r w:rsidRPr="009B5D10">
        <w:rPr>
          <w:rStyle w:val="FootnoteReference"/>
          <w:sz w:val="24"/>
          <w:szCs w:val="24"/>
        </w:rPr>
        <w:footnoteRef/>
      </w:r>
      <w:r w:rsidRPr="009B5D10">
        <w:rPr>
          <w:sz w:val="24"/>
          <w:szCs w:val="24"/>
        </w:rPr>
        <w:t xml:space="preserve"> See </w:t>
      </w:r>
      <w:proofErr w:type="spellStart"/>
      <w:r w:rsidRPr="009B5D10">
        <w:rPr>
          <w:sz w:val="24"/>
          <w:szCs w:val="24"/>
        </w:rPr>
        <w:t>Theophilus</w:t>
      </w:r>
      <w:proofErr w:type="spellEnd"/>
      <w:r w:rsidRPr="009B5D10">
        <w:rPr>
          <w:sz w:val="24"/>
          <w:szCs w:val="24"/>
        </w:rPr>
        <w:t xml:space="preserve">, </w:t>
      </w:r>
      <w:r w:rsidRPr="009B5D10">
        <w:rPr>
          <w:i/>
          <w:sz w:val="24"/>
          <w:szCs w:val="24"/>
        </w:rPr>
        <w:t xml:space="preserve">Ad </w:t>
      </w:r>
      <w:proofErr w:type="spellStart"/>
      <w:r w:rsidRPr="009B5D10">
        <w:rPr>
          <w:i/>
          <w:sz w:val="24"/>
          <w:szCs w:val="24"/>
        </w:rPr>
        <w:t>Autolycum</w:t>
      </w:r>
      <w:proofErr w:type="spellEnd"/>
      <w:r w:rsidR="009422D7" w:rsidRPr="009B5D10">
        <w:rPr>
          <w:sz w:val="24"/>
          <w:szCs w:val="24"/>
        </w:rPr>
        <w:t xml:space="preserve"> 1.4 (6</w:t>
      </w:r>
      <w:r w:rsidRPr="009B5D10">
        <w:rPr>
          <w:sz w:val="24"/>
          <w:szCs w:val="24"/>
        </w:rPr>
        <w:t xml:space="preserve"> Grant), where </w:t>
      </w:r>
      <w:proofErr w:type="spellStart"/>
      <w:r w:rsidRPr="009B5D10">
        <w:rPr>
          <w:sz w:val="24"/>
          <w:szCs w:val="24"/>
        </w:rPr>
        <w:t>Theophilus</w:t>
      </w:r>
      <w:proofErr w:type="spellEnd"/>
      <w:r w:rsidRPr="009B5D10">
        <w:rPr>
          <w:sz w:val="24"/>
          <w:szCs w:val="24"/>
        </w:rPr>
        <w:t xml:space="preserve"> in his own voice speaks of God as unoriginated (</w:t>
      </w:r>
      <w:r w:rsidRPr="009B5D10">
        <w:rPr>
          <w:sz w:val="24"/>
          <w:szCs w:val="24"/>
          <w:lang w:val="el-GR"/>
        </w:rPr>
        <w:t>ἀγενήτον</w:t>
      </w:r>
      <w:r w:rsidRPr="009B5D10">
        <w:rPr>
          <w:sz w:val="24"/>
          <w:szCs w:val="24"/>
        </w:rPr>
        <w:t xml:space="preserve">), father, and maker of the universe. </w:t>
      </w:r>
    </w:p>
  </w:footnote>
  <w:footnote w:id="11">
    <w:p w:rsidR="0089257D" w:rsidRPr="009B5D10" w:rsidRDefault="0089257D">
      <w:pPr>
        <w:pStyle w:val="FootnoteText"/>
        <w:rPr>
          <w:sz w:val="24"/>
          <w:szCs w:val="24"/>
        </w:rPr>
      </w:pPr>
      <w:r w:rsidRPr="009B5D10">
        <w:rPr>
          <w:rStyle w:val="FootnoteReference"/>
          <w:sz w:val="24"/>
          <w:szCs w:val="24"/>
        </w:rPr>
        <w:footnoteRef/>
      </w:r>
      <w:r w:rsidRPr="009B5D10">
        <w:rPr>
          <w:sz w:val="24"/>
          <w:szCs w:val="24"/>
        </w:rPr>
        <w:t xml:space="preserve"> See Salvatore R. C. </w:t>
      </w:r>
      <w:proofErr w:type="spellStart"/>
      <w:r w:rsidRPr="009B5D10">
        <w:rPr>
          <w:sz w:val="24"/>
          <w:szCs w:val="24"/>
        </w:rPr>
        <w:t>Lilla</w:t>
      </w:r>
      <w:proofErr w:type="spellEnd"/>
      <w:r w:rsidRPr="009B5D10">
        <w:rPr>
          <w:sz w:val="24"/>
          <w:szCs w:val="24"/>
        </w:rPr>
        <w:t xml:space="preserve">, “The Neoplatonic Hypostases and the Christian Trinity,” in Mark </w:t>
      </w:r>
      <w:proofErr w:type="spellStart"/>
      <w:r w:rsidRPr="009B5D10">
        <w:rPr>
          <w:sz w:val="24"/>
          <w:szCs w:val="24"/>
        </w:rPr>
        <w:t>Joyal</w:t>
      </w:r>
      <w:proofErr w:type="spellEnd"/>
      <w:r w:rsidRPr="009B5D10">
        <w:rPr>
          <w:sz w:val="24"/>
          <w:szCs w:val="24"/>
        </w:rPr>
        <w:t xml:space="preserve">, ed. </w:t>
      </w:r>
      <w:r w:rsidRPr="009B5D10">
        <w:rPr>
          <w:i/>
          <w:sz w:val="24"/>
          <w:szCs w:val="24"/>
        </w:rPr>
        <w:t>Studies in Plato and the Platonic Tradition. Essays Presented to John Whittaker</w:t>
      </w:r>
      <w:r w:rsidRPr="009B5D10">
        <w:rPr>
          <w:sz w:val="24"/>
          <w:szCs w:val="24"/>
        </w:rPr>
        <w:t xml:space="preserve"> (</w:t>
      </w:r>
      <w:proofErr w:type="spellStart"/>
      <w:r w:rsidRPr="009B5D10">
        <w:rPr>
          <w:sz w:val="24"/>
          <w:szCs w:val="24"/>
        </w:rPr>
        <w:t>Aldershot</w:t>
      </w:r>
      <w:proofErr w:type="spellEnd"/>
      <w:r w:rsidRPr="009B5D10">
        <w:rPr>
          <w:sz w:val="24"/>
          <w:szCs w:val="24"/>
        </w:rPr>
        <w:t xml:space="preserve">, Brookfield USA, Singapore, Sydney: </w:t>
      </w:r>
      <w:proofErr w:type="spellStart"/>
      <w:r w:rsidRPr="009B5D10">
        <w:rPr>
          <w:sz w:val="24"/>
          <w:szCs w:val="24"/>
        </w:rPr>
        <w:t>Ashgate</w:t>
      </w:r>
      <w:proofErr w:type="spellEnd"/>
      <w:r w:rsidRPr="009B5D10">
        <w:rPr>
          <w:sz w:val="24"/>
          <w:szCs w:val="24"/>
        </w:rPr>
        <w:t>, 1997),</w:t>
      </w:r>
      <w:r w:rsidRPr="009B5D10">
        <w:rPr>
          <w:i/>
          <w:sz w:val="24"/>
          <w:szCs w:val="24"/>
        </w:rPr>
        <w:t xml:space="preserve"> </w:t>
      </w:r>
      <w:r w:rsidRPr="009B5D10">
        <w:rPr>
          <w:sz w:val="24"/>
          <w:szCs w:val="24"/>
        </w:rPr>
        <w:t>127–89, at 129.</w:t>
      </w:r>
    </w:p>
  </w:footnote>
  <w:footnote w:id="12">
    <w:p w:rsidR="00634304" w:rsidRPr="009B5D10" w:rsidRDefault="00634304" w:rsidP="00634304">
      <w:pPr>
        <w:pStyle w:val="FootnoteText"/>
        <w:rPr>
          <w:sz w:val="24"/>
          <w:szCs w:val="24"/>
        </w:rPr>
      </w:pPr>
      <w:r w:rsidRPr="009B5D10">
        <w:rPr>
          <w:rStyle w:val="FootnoteReference"/>
          <w:sz w:val="24"/>
          <w:szCs w:val="24"/>
        </w:rPr>
        <w:footnoteRef/>
      </w:r>
      <w:r w:rsidRPr="009B5D10">
        <w:rPr>
          <w:sz w:val="24"/>
          <w:szCs w:val="24"/>
        </w:rPr>
        <w:t xml:space="preserve"> </w:t>
      </w:r>
      <w:r w:rsidRPr="009B5D10">
        <w:rPr>
          <w:i/>
          <w:sz w:val="24"/>
          <w:szCs w:val="24"/>
        </w:rPr>
        <w:t>Strom</w:t>
      </w:r>
      <w:r w:rsidR="0089257D" w:rsidRPr="009B5D10">
        <w:rPr>
          <w:sz w:val="24"/>
          <w:szCs w:val="24"/>
        </w:rPr>
        <w:t>. V.103.1 (395, 12–17).</w:t>
      </w:r>
      <w:r w:rsidR="00E03613" w:rsidRPr="009B5D10">
        <w:rPr>
          <w:sz w:val="24"/>
          <w:szCs w:val="24"/>
        </w:rPr>
        <w:t xml:space="preserve"> See also Origen, </w:t>
      </w:r>
      <w:r w:rsidR="00E03613" w:rsidRPr="009B5D10">
        <w:rPr>
          <w:i/>
          <w:sz w:val="24"/>
          <w:szCs w:val="24"/>
        </w:rPr>
        <w:t xml:space="preserve">Against </w:t>
      </w:r>
      <w:proofErr w:type="spellStart"/>
      <w:r w:rsidR="00E03613" w:rsidRPr="009B5D10">
        <w:rPr>
          <w:i/>
          <w:sz w:val="24"/>
          <w:szCs w:val="24"/>
        </w:rPr>
        <w:t>Celsus</w:t>
      </w:r>
      <w:proofErr w:type="spellEnd"/>
      <w:r w:rsidR="00E03613" w:rsidRPr="009B5D10">
        <w:rPr>
          <w:sz w:val="24"/>
          <w:szCs w:val="24"/>
        </w:rPr>
        <w:t xml:space="preserve"> 6.18 (222–24 </w:t>
      </w:r>
      <w:proofErr w:type="spellStart"/>
      <w:r w:rsidR="00E03613" w:rsidRPr="009B5D10">
        <w:rPr>
          <w:sz w:val="24"/>
          <w:szCs w:val="24"/>
        </w:rPr>
        <w:t>Borret</w:t>
      </w:r>
      <w:proofErr w:type="spellEnd"/>
      <w:r w:rsidR="00E03613" w:rsidRPr="009B5D10">
        <w:rPr>
          <w:sz w:val="24"/>
          <w:szCs w:val="24"/>
        </w:rPr>
        <w:t>).</w:t>
      </w:r>
    </w:p>
  </w:footnote>
  <w:footnote w:id="13">
    <w:p w:rsidR="0089257D" w:rsidRPr="009B5D10" w:rsidRDefault="0089257D">
      <w:pPr>
        <w:pStyle w:val="FootnoteText"/>
        <w:rPr>
          <w:sz w:val="24"/>
          <w:szCs w:val="24"/>
        </w:rPr>
      </w:pPr>
      <w:r w:rsidRPr="009B5D10">
        <w:rPr>
          <w:rStyle w:val="FootnoteReference"/>
          <w:sz w:val="24"/>
          <w:szCs w:val="24"/>
        </w:rPr>
        <w:footnoteRef/>
      </w:r>
      <w:r w:rsidRPr="009B5D10">
        <w:rPr>
          <w:sz w:val="24"/>
          <w:szCs w:val="24"/>
        </w:rPr>
        <w:t xml:space="preserve"> For evidence of non-Christian Plat</w:t>
      </w:r>
      <w:r w:rsidR="00AA0ABF" w:rsidRPr="009B5D10">
        <w:rPr>
          <w:sz w:val="24"/>
          <w:szCs w:val="24"/>
        </w:rPr>
        <w:t xml:space="preserve">onist citations of John 1, see </w:t>
      </w:r>
      <w:proofErr w:type="spellStart"/>
      <w:r w:rsidR="00AA0ABF" w:rsidRPr="009B5D10">
        <w:rPr>
          <w:sz w:val="24"/>
          <w:szCs w:val="24"/>
        </w:rPr>
        <w:t>Amelius</w:t>
      </w:r>
      <w:proofErr w:type="spellEnd"/>
      <w:r w:rsidR="00AA0ABF" w:rsidRPr="009B5D10">
        <w:rPr>
          <w:sz w:val="24"/>
          <w:szCs w:val="24"/>
        </w:rPr>
        <w:t xml:space="preserve"> </w:t>
      </w:r>
      <w:proofErr w:type="spellStart"/>
      <w:r w:rsidR="00AA0ABF" w:rsidRPr="009B5D10">
        <w:rPr>
          <w:sz w:val="24"/>
          <w:szCs w:val="24"/>
        </w:rPr>
        <w:t>apud</w:t>
      </w:r>
      <w:proofErr w:type="spellEnd"/>
      <w:r w:rsidR="00AA0ABF" w:rsidRPr="009B5D10">
        <w:rPr>
          <w:sz w:val="24"/>
          <w:szCs w:val="24"/>
        </w:rPr>
        <w:t xml:space="preserve"> Eusebius, </w:t>
      </w:r>
      <w:r w:rsidR="00AA0ABF" w:rsidRPr="009B5D10">
        <w:rPr>
          <w:i/>
          <w:sz w:val="24"/>
          <w:szCs w:val="24"/>
        </w:rPr>
        <w:t xml:space="preserve">Preparation </w:t>
      </w:r>
      <w:r w:rsidR="00AA0ABF" w:rsidRPr="009B5D10">
        <w:rPr>
          <w:sz w:val="24"/>
          <w:szCs w:val="24"/>
        </w:rPr>
        <w:t>XI.19</w:t>
      </w:r>
      <w:r w:rsidRPr="009B5D10">
        <w:rPr>
          <w:sz w:val="24"/>
          <w:szCs w:val="24"/>
        </w:rPr>
        <w:t>.</w:t>
      </w:r>
    </w:p>
  </w:footnote>
  <w:footnote w:id="14">
    <w:p w:rsidR="00634304" w:rsidRPr="009B5D10" w:rsidRDefault="00634304" w:rsidP="00634304">
      <w:pPr>
        <w:pStyle w:val="FootnoteText"/>
        <w:rPr>
          <w:sz w:val="24"/>
          <w:szCs w:val="24"/>
        </w:rPr>
      </w:pPr>
      <w:r w:rsidRPr="009B5D10">
        <w:rPr>
          <w:rStyle w:val="FootnoteReference"/>
          <w:sz w:val="24"/>
          <w:szCs w:val="24"/>
        </w:rPr>
        <w:footnoteRef/>
      </w:r>
      <w:r w:rsidRPr="009B5D10">
        <w:rPr>
          <w:sz w:val="24"/>
          <w:szCs w:val="24"/>
        </w:rPr>
        <w:t xml:space="preserve"> Plotinus, </w:t>
      </w:r>
      <w:proofErr w:type="spellStart"/>
      <w:r w:rsidRPr="009B5D10">
        <w:rPr>
          <w:i/>
          <w:sz w:val="24"/>
          <w:szCs w:val="24"/>
        </w:rPr>
        <w:t>Enn</w:t>
      </w:r>
      <w:proofErr w:type="spellEnd"/>
      <w:r w:rsidR="00AA0ABF" w:rsidRPr="009B5D10">
        <w:rPr>
          <w:sz w:val="24"/>
          <w:szCs w:val="24"/>
        </w:rPr>
        <w:t>. 5.1.8.1–8</w:t>
      </w:r>
      <w:r w:rsidR="008B5BDE">
        <w:rPr>
          <w:sz w:val="24"/>
          <w:szCs w:val="24"/>
        </w:rPr>
        <w:t xml:space="preserve"> (trans. Gerson et al.</w:t>
      </w:r>
      <w:r w:rsidRPr="009B5D10">
        <w:rPr>
          <w:sz w:val="24"/>
          <w:szCs w:val="24"/>
        </w:rPr>
        <w:t>, 543, altered slightly</w:t>
      </w:r>
      <w:r w:rsidR="008B5BDE">
        <w:rPr>
          <w:sz w:val="24"/>
          <w:szCs w:val="24"/>
        </w:rPr>
        <w:t>)</w:t>
      </w:r>
      <w:r w:rsidRPr="009B5D10">
        <w:rPr>
          <w:sz w:val="24"/>
          <w:szCs w:val="24"/>
        </w:rPr>
        <w:t xml:space="preserve">; cf. </w:t>
      </w:r>
      <w:proofErr w:type="spellStart"/>
      <w:r w:rsidRPr="009B5D10">
        <w:rPr>
          <w:sz w:val="24"/>
          <w:szCs w:val="24"/>
        </w:rPr>
        <w:t>Lilla</w:t>
      </w:r>
      <w:proofErr w:type="spellEnd"/>
      <w:r w:rsidRPr="009B5D10">
        <w:rPr>
          <w:sz w:val="24"/>
          <w:szCs w:val="24"/>
        </w:rPr>
        <w:t xml:space="preserve">, “Neoplatonic Hypostases,” 130. </w:t>
      </w:r>
    </w:p>
  </w:footnote>
  <w:footnote w:id="15">
    <w:p w:rsidR="005B2E54" w:rsidRPr="009B5D10" w:rsidRDefault="005B2E54">
      <w:pPr>
        <w:pStyle w:val="FootnoteText"/>
        <w:rPr>
          <w:sz w:val="24"/>
          <w:szCs w:val="24"/>
        </w:rPr>
      </w:pPr>
      <w:r w:rsidRPr="009B5D10">
        <w:rPr>
          <w:rStyle w:val="FootnoteReference"/>
          <w:sz w:val="24"/>
          <w:szCs w:val="24"/>
        </w:rPr>
        <w:footnoteRef/>
      </w:r>
      <w:r w:rsidRPr="009B5D10">
        <w:rPr>
          <w:sz w:val="24"/>
          <w:szCs w:val="24"/>
        </w:rPr>
        <w:t xml:space="preserve"> Eusebius, </w:t>
      </w:r>
      <w:r w:rsidRPr="009B5D10">
        <w:rPr>
          <w:i/>
          <w:sz w:val="24"/>
          <w:szCs w:val="24"/>
        </w:rPr>
        <w:t>Preparation for the Gospel</w:t>
      </w:r>
      <w:r w:rsidRPr="009B5D10">
        <w:rPr>
          <w:sz w:val="24"/>
          <w:szCs w:val="24"/>
        </w:rPr>
        <w:t xml:space="preserve"> XI.17–21.</w:t>
      </w:r>
    </w:p>
  </w:footnote>
  <w:footnote w:id="16">
    <w:p w:rsidR="0057128D" w:rsidRPr="009B5D10" w:rsidRDefault="0057128D">
      <w:pPr>
        <w:pStyle w:val="FootnoteText"/>
        <w:rPr>
          <w:sz w:val="24"/>
          <w:szCs w:val="24"/>
        </w:rPr>
      </w:pPr>
      <w:r w:rsidRPr="009B5D10">
        <w:rPr>
          <w:rStyle w:val="FootnoteReference"/>
          <w:sz w:val="24"/>
          <w:szCs w:val="24"/>
        </w:rPr>
        <w:footnoteRef/>
      </w:r>
      <w:r w:rsidRPr="009B5D10">
        <w:rPr>
          <w:sz w:val="24"/>
          <w:szCs w:val="24"/>
        </w:rPr>
        <w:t xml:space="preserve"> </w:t>
      </w:r>
      <w:r w:rsidR="007F7015" w:rsidRPr="009B5D10">
        <w:rPr>
          <w:sz w:val="24"/>
          <w:szCs w:val="24"/>
        </w:rPr>
        <w:t xml:space="preserve">See Volker Henning </w:t>
      </w:r>
      <w:proofErr w:type="spellStart"/>
      <w:r w:rsidR="007F7015" w:rsidRPr="009B5D10">
        <w:rPr>
          <w:sz w:val="24"/>
          <w:szCs w:val="24"/>
        </w:rPr>
        <w:t>Drecoll</w:t>
      </w:r>
      <w:proofErr w:type="spellEnd"/>
      <w:r w:rsidR="007F7015" w:rsidRPr="009B5D10">
        <w:rPr>
          <w:sz w:val="24"/>
          <w:szCs w:val="24"/>
        </w:rPr>
        <w:t xml:space="preserve">, “Is Porphyry the Source Used by Marius </w:t>
      </w:r>
      <w:proofErr w:type="spellStart"/>
      <w:r w:rsidR="007F7015" w:rsidRPr="009B5D10">
        <w:rPr>
          <w:sz w:val="24"/>
          <w:szCs w:val="24"/>
        </w:rPr>
        <w:t>Victorinus</w:t>
      </w:r>
      <w:proofErr w:type="spellEnd"/>
      <w:proofErr w:type="gramStart"/>
      <w:r w:rsidR="00F17841" w:rsidRPr="009B5D10">
        <w:rPr>
          <w:sz w:val="24"/>
          <w:szCs w:val="24"/>
        </w:rPr>
        <w:t>?</w:t>
      </w:r>
      <w:r w:rsidR="007F7015" w:rsidRPr="009B5D10">
        <w:rPr>
          <w:sz w:val="24"/>
          <w:szCs w:val="24"/>
        </w:rPr>
        <w:t>,</w:t>
      </w:r>
      <w:proofErr w:type="gramEnd"/>
      <w:r w:rsidR="007F7015" w:rsidRPr="009B5D10">
        <w:rPr>
          <w:sz w:val="24"/>
          <w:szCs w:val="24"/>
        </w:rPr>
        <w:t xml:space="preserve">” in John D. Turner and Kevin Corrigan, eds. </w:t>
      </w:r>
      <w:r w:rsidR="007F7015" w:rsidRPr="009B5D10">
        <w:rPr>
          <w:i/>
          <w:sz w:val="24"/>
          <w:szCs w:val="24"/>
        </w:rPr>
        <w:t xml:space="preserve">Plato’s </w:t>
      </w:r>
      <w:r w:rsidR="007F7015" w:rsidRPr="009B5D10">
        <w:rPr>
          <w:i/>
          <w:sz w:val="24"/>
          <w:szCs w:val="24"/>
          <w:u w:val="single"/>
        </w:rPr>
        <w:t>Parmenides</w:t>
      </w:r>
      <w:r w:rsidR="007F7015" w:rsidRPr="009B5D10">
        <w:rPr>
          <w:i/>
          <w:sz w:val="24"/>
          <w:szCs w:val="24"/>
        </w:rPr>
        <w:t xml:space="preserve"> and its Heritage, Volume 2: Reception in Patristics, Gnostic, and Christian Neoplatonic Texts</w:t>
      </w:r>
      <w:r w:rsidR="007F7015" w:rsidRPr="009B5D10">
        <w:rPr>
          <w:sz w:val="24"/>
          <w:szCs w:val="24"/>
        </w:rPr>
        <w:t>, Writings from the Greco-Roman World Supplements 3 (Atlanta: Society of Biblical Literature Publications, 2010), 65–80.</w:t>
      </w:r>
      <w:r w:rsidRPr="009B5D10">
        <w:rPr>
          <w:sz w:val="24"/>
          <w:szCs w:val="24"/>
        </w:rPr>
        <w:t xml:space="preserve"> </w:t>
      </w:r>
    </w:p>
  </w:footnote>
  <w:footnote w:id="17">
    <w:p w:rsidR="00767BE7" w:rsidRPr="009B5D10" w:rsidRDefault="00767BE7">
      <w:pPr>
        <w:pStyle w:val="FootnoteText"/>
        <w:rPr>
          <w:sz w:val="24"/>
          <w:szCs w:val="24"/>
        </w:rPr>
      </w:pPr>
      <w:r w:rsidRPr="009B5D10">
        <w:rPr>
          <w:rStyle w:val="FootnoteReference"/>
          <w:sz w:val="24"/>
          <w:szCs w:val="24"/>
        </w:rPr>
        <w:footnoteRef/>
      </w:r>
      <w:r w:rsidRPr="009B5D10">
        <w:rPr>
          <w:sz w:val="24"/>
          <w:szCs w:val="24"/>
        </w:rPr>
        <w:t xml:space="preserve"> </w:t>
      </w:r>
      <w:r w:rsidRPr="009B5D10">
        <w:rPr>
          <w:i/>
          <w:sz w:val="24"/>
          <w:szCs w:val="24"/>
        </w:rPr>
        <w:t>Conf</w:t>
      </w:r>
      <w:r w:rsidR="00BF4C60" w:rsidRPr="009B5D10">
        <w:rPr>
          <w:sz w:val="24"/>
          <w:szCs w:val="24"/>
        </w:rPr>
        <w:t xml:space="preserve">. VII.ix.13 (101 </w:t>
      </w:r>
      <w:proofErr w:type="spellStart"/>
      <w:r w:rsidR="00BF4C60" w:rsidRPr="009B5D10">
        <w:rPr>
          <w:sz w:val="24"/>
          <w:szCs w:val="24"/>
        </w:rPr>
        <w:t>Verheijen</w:t>
      </w:r>
      <w:proofErr w:type="spellEnd"/>
      <w:r w:rsidR="007E6736" w:rsidRPr="009B5D10">
        <w:rPr>
          <w:sz w:val="24"/>
          <w:szCs w:val="24"/>
        </w:rPr>
        <w:t>), VIII.ii.3</w:t>
      </w:r>
      <w:r w:rsidR="00BF4C60" w:rsidRPr="009B5D10">
        <w:rPr>
          <w:sz w:val="24"/>
          <w:szCs w:val="24"/>
        </w:rPr>
        <w:t xml:space="preserve"> (114 </w:t>
      </w:r>
      <w:proofErr w:type="spellStart"/>
      <w:r w:rsidR="00BF4C60" w:rsidRPr="009B5D10">
        <w:rPr>
          <w:sz w:val="24"/>
          <w:szCs w:val="24"/>
        </w:rPr>
        <w:t>Verheijen</w:t>
      </w:r>
      <w:proofErr w:type="spellEnd"/>
      <w:r w:rsidR="00BF4C60" w:rsidRPr="009B5D10">
        <w:rPr>
          <w:sz w:val="24"/>
          <w:szCs w:val="24"/>
        </w:rPr>
        <w:t>)</w:t>
      </w:r>
      <w:r w:rsidR="007E6736" w:rsidRPr="009B5D10">
        <w:rPr>
          <w:sz w:val="24"/>
          <w:szCs w:val="24"/>
        </w:rPr>
        <w:t>; see Pier F. Beatrice, “</w:t>
      </w:r>
      <w:proofErr w:type="spellStart"/>
      <w:r w:rsidR="007E6736" w:rsidRPr="009B5D10">
        <w:rPr>
          <w:sz w:val="24"/>
          <w:szCs w:val="24"/>
        </w:rPr>
        <w:t>Quosdam</w:t>
      </w:r>
      <w:proofErr w:type="spellEnd"/>
      <w:r w:rsidR="007E6736" w:rsidRPr="009B5D10">
        <w:rPr>
          <w:sz w:val="24"/>
          <w:szCs w:val="24"/>
        </w:rPr>
        <w:t xml:space="preserve"> </w:t>
      </w:r>
      <w:proofErr w:type="spellStart"/>
      <w:r w:rsidR="007E6736" w:rsidRPr="009B5D10">
        <w:rPr>
          <w:sz w:val="24"/>
          <w:szCs w:val="24"/>
        </w:rPr>
        <w:t>Platonicorum</w:t>
      </w:r>
      <w:proofErr w:type="spellEnd"/>
      <w:r w:rsidR="007E6736" w:rsidRPr="009B5D10">
        <w:rPr>
          <w:sz w:val="24"/>
          <w:szCs w:val="24"/>
        </w:rPr>
        <w:t xml:space="preserve"> </w:t>
      </w:r>
      <w:proofErr w:type="spellStart"/>
      <w:r w:rsidR="007E6736" w:rsidRPr="009B5D10">
        <w:rPr>
          <w:sz w:val="24"/>
          <w:szCs w:val="24"/>
        </w:rPr>
        <w:t>Libros</w:t>
      </w:r>
      <w:proofErr w:type="spellEnd"/>
      <w:r w:rsidR="007E6736" w:rsidRPr="009B5D10">
        <w:rPr>
          <w:sz w:val="24"/>
          <w:szCs w:val="24"/>
        </w:rPr>
        <w:t xml:space="preserve">: The Platonic Readings of Augustine in Milan,” </w:t>
      </w:r>
      <w:proofErr w:type="spellStart"/>
      <w:r w:rsidR="007E6736" w:rsidRPr="009B5D10">
        <w:rPr>
          <w:i/>
          <w:sz w:val="24"/>
          <w:szCs w:val="24"/>
        </w:rPr>
        <w:t>Vigiliae</w:t>
      </w:r>
      <w:proofErr w:type="spellEnd"/>
      <w:r w:rsidR="007E6736" w:rsidRPr="009B5D10">
        <w:rPr>
          <w:i/>
          <w:sz w:val="24"/>
          <w:szCs w:val="24"/>
        </w:rPr>
        <w:t xml:space="preserve"> </w:t>
      </w:r>
      <w:proofErr w:type="spellStart"/>
      <w:r w:rsidR="007E6736" w:rsidRPr="009B5D10">
        <w:rPr>
          <w:i/>
          <w:sz w:val="24"/>
          <w:szCs w:val="24"/>
        </w:rPr>
        <w:t>Christianae</w:t>
      </w:r>
      <w:proofErr w:type="spellEnd"/>
      <w:r w:rsidR="007E6736" w:rsidRPr="009B5D10">
        <w:rPr>
          <w:sz w:val="24"/>
          <w:szCs w:val="24"/>
        </w:rPr>
        <w:t xml:space="preserve"> 43 (1989), 248–81.</w:t>
      </w:r>
    </w:p>
  </w:footnote>
  <w:footnote w:id="18">
    <w:p w:rsidR="00634304" w:rsidRPr="009B5D10" w:rsidRDefault="00634304" w:rsidP="00634304">
      <w:pPr>
        <w:pStyle w:val="FootnoteText"/>
        <w:rPr>
          <w:sz w:val="24"/>
          <w:szCs w:val="24"/>
        </w:rPr>
      </w:pPr>
      <w:r w:rsidRPr="009B5D10">
        <w:rPr>
          <w:rStyle w:val="FootnoteReference"/>
          <w:sz w:val="24"/>
          <w:szCs w:val="24"/>
        </w:rPr>
        <w:footnoteRef/>
      </w:r>
      <w:r w:rsidRPr="009B5D10">
        <w:rPr>
          <w:sz w:val="24"/>
          <w:szCs w:val="24"/>
        </w:rPr>
        <w:t xml:space="preserve"> Augustine, </w:t>
      </w:r>
      <w:r w:rsidRPr="009B5D10">
        <w:rPr>
          <w:i/>
          <w:sz w:val="24"/>
          <w:szCs w:val="24"/>
        </w:rPr>
        <w:t>Confessions</w:t>
      </w:r>
      <w:r w:rsidR="00BF4C60" w:rsidRPr="009B5D10">
        <w:rPr>
          <w:sz w:val="24"/>
          <w:szCs w:val="24"/>
        </w:rPr>
        <w:t xml:space="preserve"> VII.ix.13 (101 </w:t>
      </w:r>
      <w:proofErr w:type="spellStart"/>
      <w:r w:rsidR="00BF4C60" w:rsidRPr="009B5D10">
        <w:rPr>
          <w:sz w:val="24"/>
          <w:szCs w:val="24"/>
        </w:rPr>
        <w:t>Verheijen</w:t>
      </w:r>
      <w:proofErr w:type="spellEnd"/>
      <w:r w:rsidR="00BF4C60" w:rsidRPr="009B5D10">
        <w:rPr>
          <w:sz w:val="24"/>
          <w:szCs w:val="24"/>
        </w:rPr>
        <w:t xml:space="preserve">; </w:t>
      </w:r>
      <w:r w:rsidRPr="009B5D10">
        <w:rPr>
          <w:sz w:val="24"/>
          <w:szCs w:val="24"/>
        </w:rPr>
        <w:t>trans. Chadwick, 121</w:t>
      </w:r>
      <w:r w:rsidR="00BF4C60" w:rsidRPr="009B5D10">
        <w:rPr>
          <w:sz w:val="24"/>
          <w:szCs w:val="24"/>
        </w:rPr>
        <w:t>)</w:t>
      </w:r>
      <w:r w:rsidRPr="009B5D10">
        <w:rPr>
          <w:sz w:val="24"/>
          <w:szCs w:val="24"/>
        </w:rPr>
        <w:t xml:space="preserve">. </w:t>
      </w:r>
    </w:p>
  </w:footnote>
  <w:footnote w:id="19">
    <w:p w:rsidR="00634304" w:rsidRPr="009B5D10" w:rsidRDefault="00634304" w:rsidP="00634304">
      <w:pPr>
        <w:pStyle w:val="FootnoteText"/>
        <w:rPr>
          <w:sz w:val="24"/>
          <w:szCs w:val="24"/>
        </w:rPr>
      </w:pPr>
      <w:r w:rsidRPr="009B5D10">
        <w:rPr>
          <w:rStyle w:val="FootnoteReference"/>
          <w:sz w:val="24"/>
          <w:szCs w:val="24"/>
        </w:rPr>
        <w:footnoteRef/>
      </w:r>
      <w:r w:rsidRPr="009B5D10">
        <w:rPr>
          <w:sz w:val="24"/>
          <w:szCs w:val="24"/>
        </w:rPr>
        <w:t xml:space="preserve"> </w:t>
      </w:r>
      <w:r w:rsidRPr="009B5D10">
        <w:rPr>
          <w:i/>
          <w:sz w:val="24"/>
          <w:szCs w:val="24"/>
        </w:rPr>
        <w:t>Civ</w:t>
      </w:r>
      <w:r w:rsidRPr="009B5D10">
        <w:rPr>
          <w:sz w:val="24"/>
          <w:szCs w:val="24"/>
        </w:rPr>
        <w:t>. X.23 (</w:t>
      </w:r>
      <w:r w:rsidR="00BF4C60" w:rsidRPr="009B5D10">
        <w:rPr>
          <w:sz w:val="24"/>
          <w:szCs w:val="24"/>
        </w:rPr>
        <w:t xml:space="preserve">296–97 CCSL; trans. Dyson, </w:t>
      </w:r>
      <w:r w:rsidRPr="009B5D10">
        <w:rPr>
          <w:sz w:val="24"/>
          <w:szCs w:val="24"/>
        </w:rPr>
        <w:t>425).</w:t>
      </w:r>
    </w:p>
  </w:footnote>
  <w:footnote w:id="20">
    <w:p w:rsidR="005D5BD1" w:rsidRPr="009B5D10" w:rsidRDefault="005D5BD1">
      <w:pPr>
        <w:pStyle w:val="FootnoteText"/>
        <w:rPr>
          <w:sz w:val="24"/>
          <w:szCs w:val="24"/>
        </w:rPr>
      </w:pPr>
      <w:r w:rsidRPr="009B5D10">
        <w:rPr>
          <w:rStyle w:val="FootnoteReference"/>
          <w:sz w:val="24"/>
          <w:szCs w:val="24"/>
        </w:rPr>
        <w:footnoteRef/>
      </w:r>
      <w:r w:rsidR="009E1C21" w:rsidRPr="009B5D10">
        <w:rPr>
          <w:sz w:val="24"/>
          <w:szCs w:val="24"/>
        </w:rPr>
        <w:t xml:space="preserve"> </w:t>
      </w:r>
      <w:proofErr w:type="spellStart"/>
      <w:r w:rsidR="009E1C21" w:rsidRPr="009B5D10">
        <w:rPr>
          <w:sz w:val="24"/>
          <w:szCs w:val="24"/>
        </w:rPr>
        <w:t>Th</w:t>
      </w:r>
      <w:r w:rsidRPr="009B5D10">
        <w:rPr>
          <w:sz w:val="24"/>
          <w:szCs w:val="24"/>
        </w:rPr>
        <w:t>eodoret</w:t>
      </w:r>
      <w:proofErr w:type="spellEnd"/>
      <w:r w:rsidRPr="009B5D10">
        <w:rPr>
          <w:sz w:val="24"/>
          <w:szCs w:val="24"/>
        </w:rPr>
        <w:t xml:space="preserve">, </w:t>
      </w:r>
      <w:r w:rsidRPr="009B5D10">
        <w:rPr>
          <w:i/>
          <w:sz w:val="24"/>
          <w:szCs w:val="24"/>
        </w:rPr>
        <w:t>cur</w:t>
      </w:r>
      <w:r w:rsidR="00BF4C60" w:rsidRPr="009B5D10">
        <w:rPr>
          <w:sz w:val="24"/>
          <w:szCs w:val="24"/>
        </w:rPr>
        <w:t xml:space="preserve">. 2.85 (161–62 </w:t>
      </w:r>
      <w:proofErr w:type="spellStart"/>
      <w:r w:rsidR="00BF4C60" w:rsidRPr="009B5D10">
        <w:rPr>
          <w:sz w:val="24"/>
          <w:szCs w:val="24"/>
        </w:rPr>
        <w:t>Canivet</w:t>
      </w:r>
      <w:proofErr w:type="spellEnd"/>
      <w:r w:rsidRPr="009B5D10">
        <w:rPr>
          <w:sz w:val="24"/>
          <w:szCs w:val="24"/>
        </w:rPr>
        <w:t>).</w:t>
      </w:r>
    </w:p>
  </w:footnote>
  <w:footnote w:id="21">
    <w:p w:rsidR="00FB719B" w:rsidRPr="009B5D10" w:rsidRDefault="00FB719B">
      <w:pPr>
        <w:pStyle w:val="FootnoteText"/>
        <w:rPr>
          <w:sz w:val="24"/>
          <w:szCs w:val="24"/>
        </w:rPr>
      </w:pPr>
      <w:r w:rsidRPr="009B5D10">
        <w:rPr>
          <w:rStyle w:val="FootnoteReference"/>
          <w:sz w:val="24"/>
          <w:szCs w:val="24"/>
        </w:rPr>
        <w:footnoteRef/>
      </w:r>
      <w:r w:rsidRPr="009B5D10">
        <w:rPr>
          <w:sz w:val="24"/>
          <w:szCs w:val="24"/>
        </w:rPr>
        <w:t xml:space="preserve"> Cyril, </w:t>
      </w:r>
      <w:r w:rsidRPr="009B5D10">
        <w:rPr>
          <w:i/>
          <w:sz w:val="24"/>
          <w:szCs w:val="24"/>
        </w:rPr>
        <w:t>Against Julian</w:t>
      </w:r>
      <w:r w:rsidR="00BF4C60" w:rsidRPr="009B5D10">
        <w:rPr>
          <w:sz w:val="24"/>
          <w:szCs w:val="24"/>
        </w:rPr>
        <w:t xml:space="preserve"> 8.33 (577 </w:t>
      </w:r>
      <w:proofErr w:type="spellStart"/>
      <w:r w:rsidR="00BF4C60" w:rsidRPr="009B5D10">
        <w:rPr>
          <w:sz w:val="24"/>
          <w:szCs w:val="24"/>
        </w:rPr>
        <w:t>Kinzig</w:t>
      </w:r>
      <w:proofErr w:type="spellEnd"/>
      <w:r w:rsidR="00BF4C60" w:rsidRPr="009B5D10">
        <w:rPr>
          <w:sz w:val="24"/>
          <w:szCs w:val="24"/>
        </w:rPr>
        <w:t xml:space="preserve"> and </w:t>
      </w:r>
      <w:proofErr w:type="spellStart"/>
      <w:r w:rsidR="00BF4C60" w:rsidRPr="009B5D10">
        <w:rPr>
          <w:sz w:val="24"/>
          <w:szCs w:val="24"/>
        </w:rPr>
        <w:t>Brüggemann</w:t>
      </w:r>
      <w:proofErr w:type="spellEnd"/>
      <w:r w:rsidR="00F04411">
        <w:rPr>
          <w:sz w:val="24"/>
          <w:szCs w:val="24"/>
        </w:rPr>
        <w:t>; trans. Crawford, forthcoming</w:t>
      </w:r>
      <w:r w:rsidRPr="009B5D10">
        <w:rPr>
          <w:sz w:val="24"/>
          <w:szCs w:val="24"/>
        </w:rPr>
        <w:t>)</w:t>
      </w:r>
      <w:r w:rsidR="00BF4C60" w:rsidRPr="009B5D10">
        <w:rPr>
          <w:sz w:val="24"/>
          <w:szCs w:val="24"/>
        </w:rPr>
        <w:t xml:space="preserve">; cf. 1.47–49 (79–81 </w:t>
      </w:r>
      <w:proofErr w:type="spellStart"/>
      <w:r w:rsidR="00BF4C60" w:rsidRPr="009B5D10">
        <w:rPr>
          <w:sz w:val="24"/>
          <w:szCs w:val="24"/>
        </w:rPr>
        <w:t>Riedwig</w:t>
      </w:r>
      <w:proofErr w:type="spellEnd"/>
      <w:r w:rsidR="007C7B32" w:rsidRPr="009B5D10">
        <w:rPr>
          <w:sz w:val="24"/>
          <w:szCs w:val="24"/>
        </w:rPr>
        <w:t>)</w:t>
      </w:r>
      <w:r w:rsidRPr="009B5D10">
        <w:rPr>
          <w:sz w:val="24"/>
          <w:szCs w:val="24"/>
        </w:rPr>
        <w:t>.</w:t>
      </w:r>
      <w:r w:rsidR="00F04411">
        <w:rPr>
          <w:sz w:val="24"/>
          <w:szCs w:val="24"/>
        </w:rPr>
        <w:t xml:space="preserve"> I am grateful to Matthew R. Crawford for sharing his draft translation, which he is preparing in collaboration with Aaron P. Joh</w:t>
      </w:r>
      <w:r w:rsidR="008B5BDE">
        <w:rPr>
          <w:sz w:val="24"/>
          <w:szCs w:val="24"/>
        </w:rPr>
        <w:t>n</w:t>
      </w:r>
      <w:r w:rsidR="00F04411">
        <w:rPr>
          <w:sz w:val="24"/>
          <w:szCs w:val="24"/>
        </w:rPr>
        <w:t xml:space="preserve">son, in advance of its publication with Cambridge University Press. </w:t>
      </w:r>
    </w:p>
  </w:footnote>
  <w:footnote w:id="22">
    <w:p w:rsidR="00C07392" w:rsidRPr="009B5D10" w:rsidRDefault="00C07392">
      <w:pPr>
        <w:pStyle w:val="FootnoteText"/>
        <w:rPr>
          <w:sz w:val="24"/>
          <w:szCs w:val="24"/>
        </w:rPr>
      </w:pPr>
      <w:r w:rsidRPr="009B5D10">
        <w:rPr>
          <w:rStyle w:val="FootnoteReference"/>
          <w:sz w:val="24"/>
          <w:szCs w:val="24"/>
        </w:rPr>
        <w:footnoteRef/>
      </w:r>
      <w:r w:rsidRPr="009B5D10">
        <w:rPr>
          <w:sz w:val="24"/>
          <w:szCs w:val="24"/>
        </w:rPr>
        <w:t xml:space="preserve"> See, e.g., Basil of Caesarea, </w:t>
      </w:r>
      <w:r w:rsidRPr="009B5D10">
        <w:rPr>
          <w:i/>
          <w:sz w:val="24"/>
          <w:szCs w:val="24"/>
        </w:rPr>
        <w:t>On the Holy Spirit</w:t>
      </w:r>
      <w:r w:rsidRPr="009B5D10">
        <w:rPr>
          <w:sz w:val="24"/>
          <w:szCs w:val="24"/>
        </w:rPr>
        <w:t xml:space="preserve"> 9.22</w:t>
      </w:r>
      <w:r w:rsidR="0057128D" w:rsidRPr="009B5D10">
        <w:rPr>
          <w:sz w:val="24"/>
          <w:szCs w:val="24"/>
        </w:rPr>
        <w:t>–23</w:t>
      </w:r>
      <w:r w:rsidRPr="009B5D10">
        <w:rPr>
          <w:sz w:val="24"/>
          <w:szCs w:val="24"/>
        </w:rPr>
        <w:t>, cited below, which</w:t>
      </w:r>
      <w:r w:rsidR="0057128D" w:rsidRPr="009B5D10">
        <w:rPr>
          <w:sz w:val="24"/>
          <w:szCs w:val="24"/>
        </w:rPr>
        <w:t xml:space="preserve"> </w:t>
      </w:r>
      <w:r w:rsidRPr="009B5D10">
        <w:rPr>
          <w:sz w:val="24"/>
          <w:szCs w:val="24"/>
        </w:rPr>
        <w:t>bears the imprint of Plotinus</w:t>
      </w:r>
      <w:r w:rsidR="0057128D" w:rsidRPr="009B5D10">
        <w:rPr>
          <w:sz w:val="24"/>
          <w:szCs w:val="24"/>
        </w:rPr>
        <w:t xml:space="preserve"> without any mention of him</w:t>
      </w:r>
      <w:r w:rsidRPr="009B5D10">
        <w:rPr>
          <w:sz w:val="24"/>
          <w:szCs w:val="24"/>
        </w:rPr>
        <w:t xml:space="preserve">; Pseudo-Dionysius, </w:t>
      </w:r>
      <w:r w:rsidRPr="009B5D10">
        <w:rPr>
          <w:i/>
          <w:sz w:val="24"/>
          <w:szCs w:val="24"/>
        </w:rPr>
        <w:t>Divine Names</w:t>
      </w:r>
      <w:r w:rsidR="00C45329" w:rsidRPr="009B5D10">
        <w:rPr>
          <w:sz w:val="24"/>
          <w:szCs w:val="24"/>
        </w:rPr>
        <w:t xml:space="preserve"> 2.7—in Dodd’s words, a “grotesque” transfer to the Son and Spirit of “the epithets with which P</w:t>
      </w:r>
      <w:r w:rsidR="000518B3" w:rsidRPr="009B5D10">
        <w:rPr>
          <w:sz w:val="24"/>
          <w:szCs w:val="24"/>
        </w:rPr>
        <w:t xml:space="preserve">roclus had adorned his </w:t>
      </w:r>
      <w:proofErr w:type="spellStart"/>
      <w:r w:rsidR="000518B3" w:rsidRPr="009B5D10">
        <w:rPr>
          <w:sz w:val="24"/>
          <w:szCs w:val="24"/>
        </w:rPr>
        <w:t>henads</w:t>
      </w:r>
      <w:proofErr w:type="spellEnd"/>
      <w:r w:rsidR="000518B3" w:rsidRPr="009B5D10">
        <w:rPr>
          <w:sz w:val="24"/>
          <w:szCs w:val="24"/>
        </w:rPr>
        <w:t xml:space="preserve">”: </w:t>
      </w:r>
      <w:r w:rsidR="000518B3" w:rsidRPr="009B5D10">
        <w:rPr>
          <w:i/>
          <w:sz w:val="24"/>
          <w:szCs w:val="24"/>
        </w:rPr>
        <w:t>Proclus: The Elements of Theology</w:t>
      </w:r>
      <w:r w:rsidR="000518B3" w:rsidRPr="009B5D10">
        <w:rPr>
          <w:sz w:val="24"/>
          <w:szCs w:val="24"/>
        </w:rPr>
        <w:t xml:space="preserve">, ed. and trans. by E. R. </w:t>
      </w:r>
      <w:proofErr w:type="spellStart"/>
      <w:r w:rsidR="000518B3" w:rsidRPr="009B5D10">
        <w:rPr>
          <w:sz w:val="24"/>
          <w:szCs w:val="24"/>
        </w:rPr>
        <w:t>Dodds</w:t>
      </w:r>
      <w:proofErr w:type="spellEnd"/>
      <w:r w:rsidR="000518B3" w:rsidRPr="009B5D10">
        <w:rPr>
          <w:sz w:val="24"/>
          <w:szCs w:val="24"/>
        </w:rPr>
        <w:t>, 2</w:t>
      </w:r>
      <w:r w:rsidR="000518B3" w:rsidRPr="009B5D10">
        <w:rPr>
          <w:sz w:val="24"/>
          <w:szCs w:val="24"/>
          <w:vertAlign w:val="superscript"/>
        </w:rPr>
        <w:t>nd</w:t>
      </w:r>
      <w:r w:rsidR="000518B3" w:rsidRPr="009B5D10">
        <w:rPr>
          <w:sz w:val="24"/>
          <w:szCs w:val="24"/>
        </w:rPr>
        <w:t xml:space="preserve"> ed. (Oxford: Clarendon, 1963), xxviii</w:t>
      </w:r>
      <w:r w:rsidRPr="009B5D10">
        <w:rPr>
          <w:sz w:val="24"/>
          <w:szCs w:val="24"/>
        </w:rPr>
        <w:t xml:space="preserve">. </w:t>
      </w:r>
    </w:p>
  </w:footnote>
  <w:footnote w:id="23">
    <w:p w:rsidR="00903D83" w:rsidRPr="009B5D10" w:rsidRDefault="00903D83" w:rsidP="00903D83">
      <w:pPr>
        <w:pStyle w:val="FootnoteText"/>
        <w:rPr>
          <w:sz w:val="24"/>
          <w:szCs w:val="24"/>
        </w:rPr>
      </w:pPr>
      <w:r w:rsidRPr="009B5D10">
        <w:rPr>
          <w:rStyle w:val="FootnoteReference"/>
          <w:sz w:val="24"/>
          <w:szCs w:val="24"/>
        </w:rPr>
        <w:footnoteRef/>
      </w:r>
      <w:r w:rsidRPr="009B5D10">
        <w:rPr>
          <w:sz w:val="24"/>
          <w:szCs w:val="24"/>
        </w:rPr>
        <w:t xml:space="preserve"> Hans </w:t>
      </w:r>
      <w:proofErr w:type="spellStart"/>
      <w:r w:rsidRPr="009B5D10">
        <w:rPr>
          <w:sz w:val="24"/>
          <w:szCs w:val="24"/>
        </w:rPr>
        <w:t>Urs</w:t>
      </w:r>
      <w:proofErr w:type="spellEnd"/>
      <w:r w:rsidRPr="009B5D10">
        <w:rPr>
          <w:sz w:val="24"/>
          <w:szCs w:val="24"/>
        </w:rPr>
        <w:t xml:space="preserve"> von Balthasar, </w:t>
      </w:r>
      <w:r w:rsidRPr="009B5D10">
        <w:rPr>
          <w:i/>
          <w:sz w:val="24"/>
          <w:szCs w:val="24"/>
        </w:rPr>
        <w:t>Presence and Thought: An Essay on the Religious Philosophy of Gregory of Nyssa</w:t>
      </w:r>
      <w:r w:rsidRPr="009B5D10">
        <w:rPr>
          <w:sz w:val="24"/>
          <w:szCs w:val="24"/>
        </w:rPr>
        <w:t xml:space="preserve">, trans. by Mark </w:t>
      </w:r>
      <w:proofErr w:type="spellStart"/>
      <w:r w:rsidRPr="009B5D10">
        <w:rPr>
          <w:sz w:val="24"/>
          <w:szCs w:val="24"/>
        </w:rPr>
        <w:t>Sebanc</w:t>
      </w:r>
      <w:proofErr w:type="spellEnd"/>
      <w:r w:rsidRPr="009B5D10">
        <w:rPr>
          <w:sz w:val="24"/>
          <w:szCs w:val="24"/>
        </w:rPr>
        <w:t xml:space="preserve"> (San Francisco: Ignatius, 1995; orig. pub. 1942 as </w:t>
      </w:r>
      <w:proofErr w:type="spellStart"/>
      <w:r w:rsidRPr="009B5D10">
        <w:rPr>
          <w:i/>
          <w:sz w:val="24"/>
          <w:szCs w:val="24"/>
        </w:rPr>
        <w:t>Présence</w:t>
      </w:r>
      <w:proofErr w:type="spellEnd"/>
      <w:r w:rsidRPr="009B5D10">
        <w:rPr>
          <w:i/>
          <w:sz w:val="24"/>
          <w:szCs w:val="24"/>
        </w:rPr>
        <w:t xml:space="preserve"> et </w:t>
      </w:r>
      <w:proofErr w:type="spellStart"/>
      <w:r w:rsidRPr="009B5D10">
        <w:rPr>
          <w:i/>
          <w:sz w:val="24"/>
          <w:szCs w:val="24"/>
        </w:rPr>
        <w:t>pensée</w:t>
      </w:r>
      <w:proofErr w:type="spellEnd"/>
      <w:r w:rsidRPr="009B5D10">
        <w:rPr>
          <w:i/>
          <w:sz w:val="24"/>
          <w:szCs w:val="24"/>
        </w:rPr>
        <w:t xml:space="preserve">: </w:t>
      </w:r>
      <w:proofErr w:type="spellStart"/>
      <w:r w:rsidRPr="009B5D10">
        <w:rPr>
          <w:i/>
          <w:sz w:val="24"/>
          <w:szCs w:val="24"/>
        </w:rPr>
        <w:t>Essai</w:t>
      </w:r>
      <w:proofErr w:type="spellEnd"/>
      <w:r w:rsidRPr="009B5D10">
        <w:rPr>
          <w:i/>
          <w:sz w:val="24"/>
          <w:szCs w:val="24"/>
        </w:rPr>
        <w:t xml:space="preserve"> </w:t>
      </w:r>
      <w:proofErr w:type="spellStart"/>
      <w:r w:rsidRPr="009B5D10">
        <w:rPr>
          <w:i/>
          <w:sz w:val="24"/>
          <w:szCs w:val="24"/>
        </w:rPr>
        <w:t>sur</w:t>
      </w:r>
      <w:proofErr w:type="spellEnd"/>
      <w:r w:rsidRPr="009B5D10">
        <w:rPr>
          <w:i/>
          <w:sz w:val="24"/>
          <w:szCs w:val="24"/>
        </w:rPr>
        <w:t xml:space="preserve"> la </w:t>
      </w:r>
      <w:proofErr w:type="spellStart"/>
      <w:r w:rsidRPr="009B5D10">
        <w:rPr>
          <w:i/>
          <w:sz w:val="24"/>
          <w:szCs w:val="24"/>
        </w:rPr>
        <w:t>philosohie</w:t>
      </w:r>
      <w:proofErr w:type="spellEnd"/>
      <w:r w:rsidRPr="009B5D10">
        <w:rPr>
          <w:i/>
          <w:sz w:val="24"/>
          <w:szCs w:val="24"/>
        </w:rPr>
        <w:t xml:space="preserve"> </w:t>
      </w:r>
      <w:proofErr w:type="spellStart"/>
      <w:r w:rsidRPr="009B5D10">
        <w:rPr>
          <w:i/>
          <w:sz w:val="24"/>
          <w:szCs w:val="24"/>
        </w:rPr>
        <w:t>religieuse</w:t>
      </w:r>
      <w:proofErr w:type="spellEnd"/>
      <w:r w:rsidRPr="009B5D10">
        <w:rPr>
          <w:i/>
          <w:sz w:val="24"/>
          <w:szCs w:val="24"/>
        </w:rPr>
        <w:t xml:space="preserve"> de </w:t>
      </w:r>
      <w:proofErr w:type="spellStart"/>
      <w:r w:rsidRPr="009B5D10">
        <w:rPr>
          <w:i/>
          <w:sz w:val="24"/>
          <w:szCs w:val="24"/>
        </w:rPr>
        <w:t>Grégoire</w:t>
      </w:r>
      <w:proofErr w:type="spellEnd"/>
      <w:r w:rsidRPr="009B5D10">
        <w:rPr>
          <w:i/>
          <w:sz w:val="24"/>
          <w:szCs w:val="24"/>
        </w:rPr>
        <w:t xml:space="preserve"> de </w:t>
      </w:r>
      <w:proofErr w:type="spellStart"/>
      <w:r w:rsidRPr="009B5D10">
        <w:rPr>
          <w:i/>
          <w:sz w:val="24"/>
          <w:szCs w:val="24"/>
        </w:rPr>
        <w:t>Nysse</w:t>
      </w:r>
      <w:proofErr w:type="spellEnd"/>
      <w:r w:rsidRPr="009B5D10">
        <w:rPr>
          <w:sz w:val="24"/>
          <w:szCs w:val="24"/>
        </w:rPr>
        <w:t>), 18–19.</w:t>
      </w:r>
    </w:p>
  </w:footnote>
  <w:footnote w:id="24">
    <w:p w:rsidR="0057216B" w:rsidRPr="009B5D10" w:rsidRDefault="0057216B">
      <w:pPr>
        <w:pStyle w:val="FootnoteText"/>
        <w:rPr>
          <w:sz w:val="24"/>
          <w:szCs w:val="24"/>
        </w:rPr>
      </w:pPr>
      <w:r w:rsidRPr="009B5D10">
        <w:rPr>
          <w:rStyle w:val="FootnoteReference"/>
          <w:sz w:val="24"/>
          <w:szCs w:val="24"/>
        </w:rPr>
        <w:footnoteRef/>
      </w:r>
      <w:r w:rsidRPr="009B5D10">
        <w:rPr>
          <w:sz w:val="24"/>
          <w:szCs w:val="24"/>
        </w:rPr>
        <w:t xml:space="preserve"> See Michel René Barnes, </w:t>
      </w:r>
      <w:r w:rsidRPr="009B5D10">
        <w:rPr>
          <w:i/>
          <w:sz w:val="24"/>
          <w:szCs w:val="24"/>
        </w:rPr>
        <w:t xml:space="preserve">The Power of God: </w:t>
      </w:r>
      <w:r w:rsidRPr="009B5D10">
        <w:rPr>
          <w:i/>
          <w:sz w:val="24"/>
          <w:szCs w:val="24"/>
          <w:lang w:val="el-GR"/>
        </w:rPr>
        <w:t>Δύναμις</w:t>
      </w:r>
      <w:r w:rsidRPr="009B5D10">
        <w:rPr>
          <w:i/>
          <w:sz w:val="24"/>
          <w:szCs w:val="24"/>
        </w:rPr>
        <w:t xml:space="preserve"> in Gregory of Nyssa’s Trinitarian Theology</w:t>
      </w:r>
      <w:r w:rsidRPr="009B5D10">
        <w:rPr>
          <w:sz w:val="24"/>
          <w:szCs w:val="24"/>
        </w:rPr>
        <w:t xml:space="preserve"> (Washington, D.C.: The Catholic University of America Press, 2000), 221–22.</w:t>
      </w:r>
    </w:p>
  </w:footnote>
  <w:footnote w:id="25">
    <w:p w:rsidR="00903D83" w:rsidRPr="009B5D10" w:rsidRDefault="00903D83" w:rsidP="00903D83">
      <w:pPr>
        <w:pStyle w:val="FootnoteText"/>
        <w:rPr>
          <w:sz w:val="24"/>
          <w:szCs w:val="24"/>
        </w:rPr>
      </w:pPr>
      <w:r w:rsidRPr="009B5D10">
        <w:rPr>
          <w:rStyle w:val="FootnoteReference"/>
          <w:sz w:val="24"/>
          <w:szCs w:val="24"/>
        </w:rPr>
        <w:footnoteRef/>
      </w:r>
      <w:r w:rsidRPr="009B5D10">
        <w:rPr>
          <w:sz w:val="24"/>
          <w:szCs w:val="24"/>
        </w:rPr>
        <w:t xml:space="preserve"> </w:t>
      </w:r>
      <w:proofErr w:type="gramStart"/>
      <w:r w:rsidRPr="009B5D10">
        <w:rPr>
          <w:sz w:val="24"/>
          <w:szCs w:val="24"/>
        </w:rPr>
        <w:t>Ibid.,</w:t>
      </w:r>
      <w:proofErr w:type="gramEnd"/>
      <w:r w:rsidRPr="009B5D10">
        <w:rPr>
          <w:sz w:val="24"/>
          <w:szCs w:val="24"/>
        </w:rPr>
        <w:t xml:space="preserve"> 19, n. 16. Balthasar drew on </w:t>
      </w:r>
      <w:proofErr w:type="spellStart"/>
      <w:r w:rsidRPr="009B5D10">
        <w:rPr>
          <w:sz w:val="24"/>
          <w:szCs w:val="24"/>
        </w:rPr>
        <w:t>Endre</w:t>
      </w:r>
      <w:proofErr w:type="spellEnd"/>
      <w:r w:rsidRPr="009B5D10">
        <w:rPr>
          <w:sz w:val="24"/>
          <w:szCs w:val="24"/>
        </w:rPr>
        <w:t xml:space="preserve"> von </w:t>
      </w:r>
      <w:proofErr w:type="spellStart"/>
      <w:r w:rsidRPr="009B5D10">
        <w:rPr>
          <w:sz w:val="24"/>
          <w:szCs w:val="24"/>
        </w:rPr>
        <w:t>Ivanka</w:t>
      </w:r>
      <w:proofErr w:type="spellEnd"/>
      <w:r w:rsidRPr="009B5D10">
        <w:rPr>
          <w:sz w:val="24"/>
          <w:szCs w:val="24"/>
        </w:rPr>
        <w:t>, “</w:t>
      </w:r>
      <w:proofErr w:type="spellStart"/>
      <w:r w:rsidRPr="009B5D10">
        <w:rPr>
          <w:sz w:val="24"/>
          <w:szCs w:val="24"/>
        </w:rPr>
        <w:t>Vom</w:t>
      </w:r>
      <w:proofErr w:type="spellEnd"/>
      <w:r w:rsidRPr="009B5D10">
        <w:rPr>
          <w:sz w:val="24"/>
          <w:szCs w:val="24"/>
        </w:rPr>
        <w:t xml:space="preserve"> </w:t>
      </w:r>
      <w:proofErr w:type="spellStart"/>
      <w:r w:rsidRPr="009B5D10">
        <w:rPr>
          <w:sz w:val="24"/>
          <w:szCs w:val="24"/>
        </w:rPr>
        <w:t>Platonismus</w:t>
      </w:r>
      <w:proofErr w:type="spellEnd"/>
      <w:r w:rsidRPr="009B5D10">
        <w:rPr>
          <w:sz w:val="24"/>
          <w:szCs w:val="24"/>
        </w:rPr>
        <w:t xml:space="preserve"> </w:t>
      </w:r>
      <w:proofErr w:type="spellStart"/>
      <w:r w:rsidRPr="009B5D10">
        <w:rPr>
          <w:sz w:val="24"/>
          <w:szCs w:val="24"/>
        </w:rPr>
        <w:t>zur</w:t>
      </w:r>
      <w:proofErr w:type="spellEnd"/>
      <w:r w:rsidRPr="009B5D10">
        <w:rPr>
          <w:sz w:val="24"/>
          <w:szCs w:val="24"/>
        </w:rPr>
        <w:t xml:space="preserve"> </w:t>
      </w:r>
      <w:proofErr w:type="spellStart"/>
      <w:r w:rsidRPr="009B5D10">
        <w:rPr>
          <w:sz w:val="24"/>
          <w:szCs w:val="24"/>
        </w:rPr>
        <w:t>Theorie</w:t>
      </w:r>
      <w:proofErr w:type="spellEnd"/>
      <w:r w:rsidRPr="009B5D10">
        <w:rPr>
          <w:sz w:val="24"/>
          <w:szCs w:val="24"/>
        </w:rPr>
        <w:t xml:space="preserve"> der </w:t>
      </w:r>
      <w:proofErr w:type="spellStart"/>
      <w:r w:rsidRPr="009B5D10">
        <w:rPr>
          <w:sz w:val="24"/>
          <w:szCs w:val="24"/>
        </w:rPr>
        <w:t>Mystik</w:t>
      </w:r>
      <w:proofErr w:type="spellEnd"/>
      <w:r w:rsidRPr="009B5D10">
        <w:rPr>
          <w:sz w:val="24"/>
          <w:szCs w:val="24"/>
        </w:rPr>
        <w:t xml:space="preserve">. </w:t>
      </w:r>
      <w:proofErr w:type="spellStart"/>
      <w:r w:rsidRPr="009B5D10">
        <w:rPr>
          <w:sz w:val="24"/>
          <w:szCs w:val="24"/>
        </w:rPr>
        <w:t>Zur</w:t>
      </w:r>
      <w:proofErr w:type="spellEnd"/>
      <w:r w:rsidRPr="009B5D10">
        <w:rPr>
          <w:sz w:val="24"/>
          <w:szCs w:val="24"/>
        </w:rPr>
        <w:t xml:space="preserve"> </w:t>
      </w:r>
      <w:proofErr w:type="spellStart"/>
      <w:r w:rsidRPr="009B5D10">
        <w:rPr>
          <w:sz w:val="24"/>
          <w:szCs w:val="24"/>
        </w:rPr>
        <w:t>Erkenntnislehre</w:t>
      </w:r>
      <w:proofErr w:type="spellEnd"/>
      <w:r w:rsidRPr="009B5D10">
        <w:rPr>
          <w:sz w:val="24"/>
          <w:szCs w:val="24"/>
        </w:rPr>
        <w:t xml:space="preserve"> </w:t>
      </w:r>
      <w:proofErr w:type="spellStart"/>
      <w:r w:rsidRPr="009B5D10">
        <w:rPr>
          <w:sz w:val="24"/>
          <w:szCs w:val="24"/>
        </w:rPr>
        <w:t>Gregors</w:t>
      </w:r>
      <w:proofErr w:type="spellEnd"/>
      <w:r w:rsidRPr="009B5D10">
        <w:rPr>
          <w:sz w:val="24"/>
          <w:szCs w:val="24"/>
        </w:rPr>
        <w:t xml:space="preserve"> von Nyssa,” </w:t>
      </w:r>
      <w:proofErr w:type="spellStart"/>
      <w:r w:rsidRPr="009B5D10">
        <w:rPr>
          <w:i/>
          <w:sz w:val="24"/>
          <w:szCs w:val="24"/>
        </w:rPr>
        <w:t>Scholastik</w:t>
      </w:r>
      <w:proofErr w:type="spellEnd"/>
      <w:r w:rsidRPr="009B5D10">
        <w:rPr>
          <w:sz w:val="24"/>
          <w:szCs w:val="24"/>
        </w:rPr>
        <w:t xml:space="preserve"> 11 (1936), 163–95.</w:t>
      </w:r>
    </w:p>
  </w:footnote>
  <w:footnote w:id="26">
    <w:p w:rsidR="006B61AC" w:rsidRPr="009B5D10" w:rsidRDefault="006B61AC">
      <w:pPr>
        <w:pStyle w:val="FootnoteText"/>
        <w:rPr>
          <w:sz w:val="24"/>
          <w:szCs w:val="24"/>
        </w:rPr>
      </w:pPr>
      <w:r w:rsidRPr="009B5D10">
        <w:rPr>
          <w:rStyle w:val="FootnoteReference"/>
          <w:sz w:val="24"/>
          <w:szCs w:val="24"/>
        </w:rPr>
        <w:footnoteRef/>
      </w:r>
      <w:r w:rsidRPr="009B5D10">
        <w:rPr>
          <w:sz w:val="24"/>
          <w:szCs w:val="24"/>
        </w:rPr>
        <w:t xml:space="preserve"> Thomas Aquinas, </w:t>
      </w:r>
      <w:r w:rsidRPr="009B5D10">
        <w:rPr>
          <w:i/>
          <w:sz w:val="24"/>
          <w:szCs w:val="24"/>
        </w:rPr>
        <w:t xml:space="preserve">Super </w:t>
      </w:r>
      <w:proofErr w:type="spellStart"/>
      <w:r w:rsidRPr="009B5D10">
        <w:rPr>
          <w:i/>
          <w:sz w:val="24"/>
          <w:szCs w:val="24"/>
        </w:rPr>
        <w:t>Boetium</w:t>
      </w:r>
      <w:proofErr w:type="spellEnd"/>
      <w:r w:rsidRPr="009B5D10">
        <w:rPr>
          <w:i/>
          <w:sz w:val="24"/>
          <w:szCs w:val="24"/>
        </w:rPr>
        <w:t xml:space="preserve"> de </w:t>
      </w:r>
      <w:proofErr w:type="spellStart"/>
      <w:r w:rsidRPr="009B5D10">
        <w:rPr>
          <w:i/>
          <w:sz w:val="24"/>
          <w:szCs w:val="24"/>
        </w:rPr>
        <w:t>trinitate</w:t>
      </w:r>
      <w:proofErr w:type="spellEnd"/>
      <w:r w:rsidRPr="009B5D10">
        <w:rPr>
          <w:sz w:val="24"/>
          <w:szCs w:val="24"/>
        </w:rPr>
        <w:t xml:space="preserve">, q. 3, </w:t>
      </w:r>
      <w:r w:rsidR="000F6E2C" w:rsidRPr="009B5D10">
        <w:rPr>
          <w:sz w:val="24"/>
          <w:szCs w:val="24"/>
        </w:rPr>
        <w:t>art. 4, co. 1–2. For the claim that Origen</w:t>
      </w:r>
      <w:r w:rsidRPr="009B5D10">
        <w:rPr>
          <w:sz w:val="24"/>
          <w:szCs w:val="24"/>
        </w:rPr>
        <w:t xml:space="preserve"> influence</w:t>
      </w:r>
      <w:r w:rsidR="000F6E2C" w:rsidRPr="009B5D10">
        <w:rPr>
          <w:sz w:val="24"/>
          <w:szCs w:val="24"/>
        </w:rPr>
        <w:t>d</w:t>
      </w:r>
      <w:r w:rsidRPr="009B5D10">
        <w:rPr>
          <w:sz w:val="24"/>
          <w:szCs w:val="24"/>
        </w:rPr>
        <w:t xml:space="preserve"> </w:t>
      </w:r>
      <w:r w:rsidR="000F6E2C" w:rsidRPr="009B5D10">
        <w:rPr>
          <w:sz w:val="24"/>
          <w:szCs w:val="24"/>
        </w:rPr>
        <w:t>Arius, Aquinas cites</w:t>
      </w:r>
      <w:r w:rsidRPr="009B5D10">
        <w:rPr>
          <w:sz w:val="24"/>
          <w:szCs w:val="24"/>
        </w:rPr>
        <w:t xml:space="preserve"> </w:t>
      </w:r>
      <w:proofErr w:type="spellStart"/>
      <w:r w:rsidRPr="009B5D10">
        <w:rPr>
          <w:sz w:val="24"/>
          <w:szCs w:val="24"/>
        </w:rPr>
        <w:t>Epiphanius</w:t>
      </w:r>
      <w:proofErr w:type="spellEnd"/>
      <w:r w:rsidRPr="009B5D10">
        <w:rPr>
          <w:sz w:val="24"/>
          <w:szCs w:val="24"/>
        </w:rPr>
        <w:t xml:space="preserve">. </w:t>
      </w:r>
    </w:p>
  </w:footnote>
  <w:footnote w:id="27">
    <w:p w:rsidR="00BF0ECB" w:rsidRPr="009B5D10" w:rsidRDefault="00BF0ECB">
      <w:pPr>
        <w:pStyle w:val="FootnoteText"/>
        <w:rPr>
          <w:sz w:val="24"/>
          <w:szCs w:val="24"/>
        </w:rPr>
      </w:pPr>
      <w:r w:rsidRPr="009B5D10">
        <w:rPr>
          <w:rStyle w:val="FootnoteReference"/>
          <w:sz w:val="24"/>
          <w:szCs w:val="24"/>
        </w:rPr>
        <w:footnoteRef/>
      </w:r>
      <w:r w:rsidRPr="009B5D10">
        <w:rPr>
          <w:sz w:val="24"/>
          <w:szCs w:val="24"/>
        </w:rPr>
        <w:t xml:space="preserve"> E.g. Denis </w:t>
      </w:r>
      <w:proofErr w:type="spellStart"/>
      <w:r w:rsidRPr="009B5D10">
        <w:rPr>
          <w:sz w:val="24"/>
          <w:szCs w:val="24"/>
        </w:rPr>
        <w:t>Petau</w:t>
      </w:r>
      <w:proofErr w:type="spellEnd"/>
      <w:r w:rsidRPr="009B5D10">
        <w:rPr>
          <w:sz w:val="24"/>
          <w:szCs w:val="24"/>
        </w:rPr>
        <w:t xml:space="preserve">, </w:t>
      </w:r>
      <w:r w:rsidRPr="009B5D10">
        <w:rPr>
          <w:i/>
          <w:sz w:val="24"/>
          <w:szCs w:val="24"/>
        </w:rPr>
        <w:t xml:space="preserve">Dogmata </w:t>
      </w:r>
      <w:proofErr w:type="spellStart"/>
      <w:r w:rsidRPr="009B5D10">
        <w:rPr>
          <w:i/>
          <w:sz w:val="24"/>
          <w:szCs w:val="24"/>
        </w:rPr>
        <w:t>theologica</w:t>
      </w:r>
      <w:proofErr w:type="spellEnd"/>
      <w:r w:rsidRPr="009B5D10">
        <w:rPr>
          <w:i/>
          <w:sz w:val="24"/>
          <w:szCs w:val="24"/>
        </w:rPr>
        <w:t xml:space="preserve">, tome II: </w:t>
      </w:r>
      <w:proofErr w:type="spellStart"/>
      <w:r w:rsidRPr="009B5D10">
        <w:rPr>
          <w:i/>
          <w:sz w:val="24"/>
          <w:szCs w:val="24"/>
        </w:rPr>
        <w:t>primum</w:t>
      </w:r>
      <w:proofErr w:type="spellEnd"/>
      <w:r w:rsidRPr="009B5D10">
        <w:rPr>
          <w:i/>
          <w:sz w:val="24"/>
          <w:szCs w:val="24"/>
        </w:rPr>
        <w:t xml:space="preserve"> de </w:t>
      </w:r>
      <w:proofErr w:type="spellStart"/>
      <w:r w:rsidRPr="009B5D10">
        <w:rPr>
          <w:i/>
          <w:sz w:val="24"/>
          <w:szCs w:val="24"/>
        </w:rPr>
        <w:t>praedestione</w:t>
      </w:r>
      <w:proofErr w:type="spellEnd"/>
      <w:r w:rsidRPr="009B5D10">
        <w:rPr>
          <w:i/>
          <w:sz w:val="24"/>
          <w:szCs w:val="24"/>
        </w:rPr>
        <w:t xml:space="preserve">, </w:t>
      </w:r>
      <w:proofErr w:type="spellStart"/>
      <w:r w:rsidRPr="009B5D10">
        <w:rPr>
          <w:i/>
          <w:sz w:val="24"/>
          <w:szCs w:val="24"/>
        </w:rPr>
        <w:t>postea</w:t>
      </w:r>
      <w:proofErr w:type="spellEnd"/>
      <w:r w:rsidRPr="009B5D10">
        <w:rPr>
          <w:i/>
          <w:sz w:val="24"/>
          <w:szCs w:val="24"/>
        </w:rPr>
        <w:t xml:space="preserve"> de </w:t>
      </w:r>
      <w:proofErr w:type="spellStart"/>
      <w:r w:rsidRPr="009B5D10">
        <w:rPr>
          <w:i/>
          <w:sz w:val="24"/>
          <w:szCs w:val="24"/>
        </w:rPr>
        <w:t>Trinitate</w:t>
      </w:r>
      <w:proofErr w:type="spellEnd"/>
      <w:r w:rsidRPr="009B5D10">
        <w:rPr>
          <w:sz w:val="24"/>
          <w:szCs w:val="24"/>
        </w:rPr>
        <w:t xml:space="preserve"> (Paris: L</w:t>
      </w:r>
      <w:r w:rsidR="00F2629F" w:rsidRPr="009B5D10">
        <w:rPr>
          <w:sz w:val="24"/>
          <w:szCs w:val="24"/>
        </w:rPr>
        <w:t xml:space="preserve">e </w:t>
      </w:r>
      <w:proofErr w:type="spellStart"/>
      <w:r w:rsidR="00F2629F" w:rsidRPr="009B5D10">
        <w:rPr>
          <w:sz w:val="24"/>
          <w:szCs w:val="24"/>
        </w:rPr>
        <w:t>Vivès</w:t>
      </w:r>
      <w:proofErr w:type="spellEnd"/>
      <w:r w:rsidR="00F2629F" w:rsidRPr="009B5D10">
        <w:rPr>
          <w:sz w:val="24"/>
          <w:szCs w:val="24"/>
        </w:rPr>
        <w:t>, 1865–1867 [orig. pub. 1643</w:t>
      </w:r>
      <w:r w:rsidRPr="009B5D10">
        <w:rPr>
          <w:sz w:val="24"/>
          <w:szCs w:val="24"/>
        </w:rPr>
        <w:t xml:space="preserve">]), </w:t>
      </w:r>
      <w:r w:rsidRPr="009B5D10">
        <w:rPr>
          <w:i/>
          <w:sz w:val="24"/>
          <w:szCs w:val="24"/>
        </w:rPr>
        <w:t xml:space="preserve">De </w:t>
      </w:r>
      <w:proofErr w:type="spellStart"/>
      <w:r w:rsidRPr="009B5D10">
        <w:rPr>
          <w:i/>
          <w:sz w:val="24"/>
          <w:szCs w:val="24"/>
        </w:rPr>
        <w:t>Trinitate</w:t>
      </w:r>
      <w:proofErr w:type="spellEnd"/>
      <w:r w:rsidRPr="009B5D10">
        <w:rPr>
          <w:sz w:val="24"/>
          <w:szCs w:val="24"/>
        </w:rPr>
        <w:t xml:space="preserve"> </w:t>
      </w:r>
      <w:proofErr w:type="spellStart"/>
      <w:r w:rsidRPr="009B5D10">
        <w:rPr>
          <w:sz w:val="24"/>
          <w:szCs w:val="24"/>
        </w:rPr>
        <w:t>I.i.iv</w:t>
      </w:r>
      <w:proofErr w:type="spellEnd"/>
      <w:r w:rsidRPr="009B5D10">
        <w:rPr>
          <w:sz w:val="24"/>
          <w:szCs w:val="24"/>
        </w:rPr>
        <w:t xml:space="preserve"> (p. 28</w:t>
      </w:r>
      <w:r w:rsidR="00D701FE" w:rsidRPr="009B5D10">
        <w:rPr>
          <w:sz w:val="24"/>
          <w:szCs w:val="24"/>
        </w:rPr>
        <w:t>4</w:t>
      </w:r>
      <w:r w:rsidRPr="009B5D10">
        <w:rPr>
          <w:sz w:val="24"/>
          <w:szCs w:val="24"/>
        </w:rPr>
        <w:t xml:space="preserve">); </w:t>
      </w:r>
      <w:proofErr w:type="spellStart"/>
      <w:r w:rsidRPr="009B5D10">
        <w:rPr>
          <w:sz w:val="24"/>
          <w:szCs w:val="24"/>
        </w:rPr>
        <w:t>I.vi.i</w:t>
      </w:r>
      <w:proofErr w:type="spellEnd"/>
      <w:r w:rsidRPr="009B5D10">
        <w:rPr>
          <w:sz w:val="24"/>
          <w:szCs w:val="24"/>
        </w:rPr>
        <w:t xml:space="preserve"> (p. 319). </w:t>
      </w:r>
      <w:r w:rsidR="006B6782" w:rsidRPr="009B5D10">
        <w:rPr>
          <w:sz w:val="24"/>
          <w:szCs w:val="24"/>
        </w:rPr>
        <w:t xml:space="preserve">In addition to Aquinas’s sources, </w:t>
      </w:r>
      <w:proofErr w:type="spellStart"/>
      <w:r w:rsidR="006B6782" w:rsidRPr="009B5D10">
        <w:rPr>
          <w:sz w:val="24"/>
          <w:szCs w:val="24"/>
        </w:rPr>
        <w:t>Petavius</w:t>
      </w:r>
      <w:proofErr w:type="spellEnd"/>
      <w:r w:rsidR="006B6782" w:rsidRPr="009B5D10">
        <w:rPr>
          <w:sz w:val="24"/>
          <w:szCs w:val="24"/>
        </w:rPr>
        <w:t xml:space="preserve"> cites Eusebius of Caesarea’s </w:t>
      </w:r>
      <w:r w:rsidR="006B6782" w:rsidRPr="009B5D10">
        <w:rPr>
          <w:i/>
          <w:sz w:val="24"/>
          <w:szCs w:val="24"/>
        </w:rPr>
        <w:t>Preparation</w:t>
      </w:r>
      <w:r w:rsidR="006B6782" w:rsidRPr="009B5D10">
        <w:rPr>
          <w:sz w:val="24"/>
          <w:szCs w:val="24"/>
        </w:rPr>
        <w:t xml:space="preserve"> and Cyril’s </w:t>
      </w:r>
      <w:r w:rsidR="006B6782" w:rsidRPr="009B5D10">
        <w:rPr>
          <w:i/>
          <w:sz w:val="24"/>
          <w:szCs w:val="24"/>
        </w:rPr>
        <w:t>Against Julian</w:t>
      </w:r>
      <w:r w:rsidR="006B6782" w:rsidRPr="009B5D10">
        <w:rPr>
          <w:sz w:val="24"/>
          <w:szCs w:val="24"/>
        </w:rPr>
        <w:t xml:space="preserve"> 1.</w:t>
      </w:r>
    </w:p>
  </w:footnote>
  <w:footnote w:id="28">
    <w:p w:rsidR="0001143C" w:rsidRPr="009B5D10" w:rsidRDefault="0001143C" w:rsidP="0001143C">
      <w:pPr>
        <w:pStyle w:val="FootnoteText"/>
        <w:rPr>
          <w:sz w:val="24"/>
          <w:szCs w:val="24"/>
        </w:rPr>
      </w:pPr>
      <w:r w:rsidRPr="009B5D10">
        <w:rPr>
          <w:rStyle w:val="FootnoteReference"/>
          <w:sz w:val="24"/>
          <w:szCs w:val="24"/>
        </w:rPr>
        <w:footnoteRef/>
      </w:r>
      <w:r w:rsidRPr="009B5D10">
        <w:rPr>
          <w:sz w:val="24"/>
          <w:szCs w:val="24"/>
        </w:rPr>
        <w:t xml:space="preserve"> Georg Christian Knapp, </w:t>
      </w:r>
      <w:r w:rsidRPr="009B5D10">
        <w:rPr>
          <w:i/>
          <w:sz w:val="24"/>
          <w:szCs w:val="24"/>
        </w:rPr>
        <w:t>Lectures on Christian Theology</w:t>
      </w:r>
      <w:r w:rsidRPr="009B5D10">
        <w:rPr>
          <w:sz w:val="24"/>
          <w:szCs w:val="24"/>
        </w:rPr>
        <w:t>, 2 volumes, trans. by Leonard Woods, 1</w:t>
      </w:r>
      <w:r w:rsidRPr="009B5D10">
        <w:rPr>
          <w:sz w:val="24"/>
          <w:szCs w:val="24"/>
          <w:vertAlign w:val="superscript"/>
        </w:rPr>
        <w:t>st</w:t>
      </w:r>
      <w:r w:rsidRPr="009B5D10">
        <w:rPr>
          <w:sz w:val="24"/>
          <w:szCs w:val="24"/>
        </w:rPr>
        <w:t xml:space="preserve"> ed. (New York: G. &amp; C. &amp; H. </w:t>
      </w:r>
      <w:proofErr w:type="spellStart"/>
      <w:r w:rsidRPr="009B5D10">
        <w:rPr>
          <w:sz w:val="24"/>
          <w:szCs w:val="24"/>
        </w:rPr>
        <w:t>Carvill</w:t>
      </w:r>
      <w:proofErr w:type="spellEnd"/>
      <w:r w:rsidRPr="009B5D10">
        <w:rPr>
          <w:sz w:val="24"/>
          <w:szCs w:val="24"/>
        </w:rPr>
        <w:t>, 1831 [orig. pub. (</w:t>
      </w:r>
      <w:proofErr w:type="gramStart"/>
      <w:r w:rsidRPr="009B5D10">
        <w:rPr>
          <w:sz w:val="24"/>
          <w:szCs w:val="24"/>
        </w:rPr>
        <w:t>posthumously</w:t>
      </w:r>
      <w:proofErr w:type="gramEnd"/>
      <w:r w:rsidRPr="009B5D10">
        <w:rPr>
          <w:sz w:val="24"/>
          <w:szCs w:val="24"/>
        </w:rPr>
        <w:t xml:space="preserve">) as </w:t>
      </w:r>
      <w:r w:rsidRPr="009B5D10">
        <w:rPr>
          <w:i/>
          <w:sz w:val="24"/>
          <w:szCs w:val="24"/>
        </w:rPr>
        <w:t xml:space="preserve">Dr. Georg Christian Knapp’s </w:t>
      </w:r>
      <w:proofErr w:type="spellStart"/>
      <w:r w:rsidRPr="009B5D10">
        <w:rPr>
          <w:i/>
          <w:sz w:val="24"/>
          <w:szCs w:val="24"/>
        </w:rPr>
        <w:t>Vorlesungen</w:t>
      </w:r>
      <w:proofErr w:type="spellEnd"/>
      <w:r w:rsidRPr="009B5D10">
        <w:rPr>
          <w:i/>
          <w:sz w:val="24"/>
          <w:szCs w:val="24"/>
        </w:rPr>
        <w:t xml:space="preserve"> </w:t>
      </w:r>
      <w:proofErr w:type="spellStart"/>
      <w:r w:rsidRPr="009B5D10">
        <w:rPr>
          <w:i/>
          <w:sz w:val="24"/>
          <w:szCs w:val="24"/>
        </w:rPr>
        <w:t>über</w:t>
      </w:r>
      <w:proofErr w:type="spellEnd"/>
      <w:r w:rsidRPr="009B5D10">
        <w:rPr>
          <w:i/>
          <w:sz w:val="24"/>
          <w:szCs w:val="24"/>
        </w:rPr>
        <w:t xml:space="preserve"> die </w:t>
      </w:r>
      <w:proofErr w:type="spellStart"/>
      <w:r w:rsidRPr="009B5D10">
        <w:rPr>
          <w:i/>
          <w:sz w:val="24"/>
          <w:szCs w:val="24"/>
        </w:rPr>
        <w:t>Christliche</w:t>
      </w:r>
      <w:proofErr w:type="spellEnd"/>
      <w:r w:rsidRPr="009B5D10">
        <w:rPr>
          <w:i/>
          <w:sz w:val="24"/>
          <w:szCs w:val="24"/>
        </w:rPr>
        <w:t xml:space="preserve"> </w:t>
      </w:r>
      <w:proofErr w:type="spellStart"/>
      <w:r w:rsidRPr="009B5D10">
        <w:rPr>
          <w:i/>
          <w:sz w:val="24"/>
          <w:szCs w:val="24"/>
        </w:rPr>
        <w:t>Glaubenslehre</w:t>
      </w:r>
      <w:proofErr w:type="spellEnd"/>
      <w:r w:rsidRPr="009B5D10">
        <w:rPr>
          <w:i/>
          <w:sz w:val="24"/>
          <w:szCs w:val="24"/>
        </w:rPr>
        <w:t xml:space="preserve"> </w:t>
      </w:r>
      <w:proofErr w:type="spellStart"/>
      <w:r w:rsidRPr="009B5D10">
        <w:rPr>
          <w:i/>
          <w:sz w:val="24"/>
          <w:szCs w:val="24"/>
        </w:rPr>
        <w:t>nach</w:t>
      </w:r>
      <w:proofErr w:type="spellEnd"/>
      <w:r w:rsidRPr="009B5D10">
        <w:rPr>
          <w:i/>
          <w:sz w:val="24"/>
          <w:szCs w:val="24"/>
        </w:rPr>
        <w:t xml:space="preserve"> </w:t>
      </w:r>
      <w:proofErr w:type="spellStart"/>
      <w:r w:rsidRPr="009B5D10">
        <w:rPr>
          <w:i/>
          <w:sz w:val="24"/>
          <w:szCs w:val="24"/>
        </w:rPr>
        <w:t>dem</w:t>
      </w:r>
      <w:proofErr w:type="spellEnd"/>
      <w:r w:rsidRPr="009B5D10">
        <w:rPr>
          <w:i/>
          <w:sz w:val="24"/>
          <w:szCs w:val="24"/>
        </w:rPr>
        <w:t xml:space="preserve"> </w:t>
      </w:r>
      <w:proofErr w:type="spellStart"/>
      <w:r w:rsidRPr="009B5D10">
        <w:rPr>
          <w:i/>
          <w:sz w:val="24"/>
          <w:szCs w:val="24"/>
        </w:rPr>
        <w:t>Lehrbegriff</w:t>
      </w:r>
      <w:proofErr w:type="spellEnd"/>
      <w:r w:rsidRPr="009B5D10">
        <w:rPr>
          <w:i/>
          <w:sz w:val="24"/>
          <w:szCs w:val="24"/>
        </w:rPr>
        <w:t xml:space="preserve"> der </w:t>
      </w:r>
      <w:proofErr w:type="spellStart"/>
      <w:r w:rsidRPr="009B5D10">
        <w:rPr>
          <w:i/>
          <w:sz w:val="24"/>
          <w:szCs w:val="24"/>
        </w:rPr>
        <w:t>evangelische</w:t>
      </w:r>
      <w:proofErr w:type="spellEnd"/>
      <w:r w:rsidRPr="009B5D10">
        <w:rPr>
          <w:i/>
          <w:sz w:val="24"/>
          <w:szCs w:val="24"/>
        </w:rPr>
        <w:t xml:space="preserve"> </w:t>
      </w:r>
      <w:proofErr w:type="spellStart"/>
      <w:r w:rsidRPr="009B5D10">
        <w:rPr>
          <w:i/>
          <w:sz w:val="24"/>
          <w:szCs w:val="24"/>
        </w:rPr>
        <w:t>Kirche</w:t>
      </w:r>
      <w:proofErr w:type="spellEnd"/>
      <w:r w:rsidRPr="009B5D10">
        <w:rPr>
          <w:sz w:val="24"/>
          <w:szCs w:val="24"/>
        </w:rPr>
        <w:t xml:space="preserve">, </w:t>
      </w:r>
      <w:proofErr w:type="spellStart"/>
      <w:r w:rsidRPr="009B5D10">
        <w:rPr>
          <w:sz w:val="24"/>
          <w:szCs w:val="24"/>
        </w:rPr>
        <w:t>hrsg</w:t>
      </w:r>
      <w:proofErr w:type="spellEnd"/>
      <w:r w:rsidRPr="009B5D10">
        <w:rPr>
          <w:sz w:val="24"/>
          <w:szCs w:val="24"/>
        </w:rPr>
        <w:t xml:space="preserve">. Johann Karl </w:t>
      </w:r>
      <w:proofErr w:type="spellStart"/>
      <w:r w:rsidRPr="009B5D10">
        <w:rPr>
          <w:sz w:val="24"/>
          <w:szCs w:val="24"/>
        </w:rPr>
        <w:t>Thilo</w:t>
      </w:r>
      <w:proofErr w:type="spellEnd"/>
      <w:r w:rsidRPr="009B5D10">
        <w:rPr>
          <w:sz w:val="24"/>
          <w:szCs w:val="24"/>
        </w:rPr>
        <w:t xml:space="preserve"> [Halle: </w:t>
      </w:r>
      <w:proofErr w:type="spellStart"/>
      <w:r w:rsidRPr="009B5D10">
        <w:rPr>
          <w:sz w:val="24"/>
          <w:szCs w:val="24"/>
        </w:rPr>
        <w:t>Buchhandlung</w:t>
      </w:r>
      <w:proofErr w:type="spellEnd"/>
      <w:r w:rsidRPr="009B5D10">
        <w:rPr>
          <w:sz w:val="24"/>
          <w:szCs w:val="24"/>
        </w:rPr>
        <w:t xml:space="preserve"> des </w:t>
      </w:r>
      <w:proofErr w:type="spellStart"/>
      <w:r w:rsidRPr="009B5D10">
        <w:rPr>
          <w:sz w:val="24"/>
          <w:szCs w:val="24"/>
        </w:rPr>
        <w:t>Waisenhauses</w:t>
      </w:r>
      <w:proofErr w:type="spellEnd"/>
      <w:r w:rsidRPr="009B5D10">
        <w:rPr>
          <w:sz w:val="24"/>
          <w:szCs w:val="24"/>
        </w:rPr>
        <w:t xml:space="preserve">, 1827]), vol. 1, p. 299. </w:t>
      </w:r>
    </w:p>
  </w:footnote>
  <w:footnote w:id="29">
    <w:p w:rsidR="0001143C" w:rsidRPr="009B5D10" w:rsidRDefault="0001143C" w:rsidP="0001143C">
      <w:pPr>
        <w:pStyle w:val="FootnoteText"/>
        <w:rPr>
          <w:sz w:val="24"/>
          <w:szCs w:val="24"/>
        </w:rPr>
      </w:pPr>
      <w:r w:rsidRPr="009B5D10">
        <w:rPr>
          <w:rStyle w:val="FootnoteReference"/>
          <w:sz w:val="24"/>
          <w:szCs w:val="24"/>
        </w:rPr>
        <w:footnoteRef/>
      </w:r>
      <w:r w:rsidRPr="009B5D10">
        <w:rPr>
          <w:sz w:val="24"/>
          <w:szCs w:val="24"/>
        </w:rPr>
        <w:t xml:space="preserve"> See Knapp, </w:t>
      </w:r>
      <w:r w:rsidRPr="009B5D10">
        <w:rPr>
          <w:i/>
          <w:sz w:val="24"/>
          <w:szCs w:val="24"/>
        </w:rPr>
        <w:t>Lectures</w:t>
      </w:r>
      <w:r w:rsidRPr="009B5D10">
        <w:rPr>
          <w:sz w:val="24"/>
          <w:szCs w:val="24"/>
        </w:rPr>
        <w:t xml:space="preserve">, vol. 1, p. 321. </w:t>
      </w:r>
    </w:p>
  </w:footnote>
  <w:footnote w:id="30">
    <w:p w:rsidR="00ED1224" w:rsidRPr="009B5D10" w:rsidRDefault="00ED1224" w:rsidP="00F2629F">
      <w:pPr>
        <w:rPr>
          <w:szCs w:val="24"/>
        </w:rPr>
      </w:pPr>
      <w:r w:rsidRPr="009B5D10">
        <w:rPr>
          <w:rStyle w:val="FootnoteReference"/>
          <w:szCs w:val="24"/>
        </w:rPr>
        <w:footnoteRef/>
      </w:r>
      <w:r w:rsidR="00F2629F" w:rsidRPr="009B5D10">
        <w:rPr>
          <w:szCs w:val="24"/>
        </w:rPr>
        <w:t xml:space="preserve"> Catalogued in Jonathan</w:t>
      </w:r>
      <w:r w:rsidRPr="009B5D10">
        <w:rPr>
          <w:szCs w:val="24"/>
        </w:rPr>
        <w:t xml:space="preserve"> Z. Smith,</w:t>
      </w:r>
      <w:r w:rsidR="00F2629F" w:rsidRPr="009B5D10">
        <w:rPr>
          <w:szCs w:val="24"/>
        </w:rPr>
        <w:t xml:space="preserve"> “On the Origin of Origins,” in idem, </w:t>
      </w:r>
      <w:r w:rsidR="00F2629F" w:rsidRPr="009B5D10">
        <w:rPr>
          <w:i/>
          <w:szCs w:val="24"/>
        </w:rPr>
        <w:t xml:space="preserve">Drudgery Divine: On the Comparison of Early </w:t>
      </w:r>
      <w:proofErr w:type="spellStart"/>
      <w:r w:rsidR="00F2629F" w:rsidRPr="009B5D10">
        <w:rPr>
          <w:i/>
          <w:szCs w:val="24"/>
        </w:rPr>
        <w:t>Christianities</w:t>
      </w:r>
      <w:proofErr w:type="spellEnd"/>
      <w:r w:rsidR="00F2629F" w:rsidRPr="009B5D10">
        <w:rPr>
          <w:i/>
          <w:szCs w:val="24"/>
        </w:rPr>
        <w:t xml:space="preserve"> and the Religions of Late Antiquity</w:t>
      </w:r>
      <w:r w:rsidR="00F2629F" w:rsidRPr="009B5D10">
        <w:rPr>
          <w:szCs w:val="24"/>
        </w:rPr>
        <w:t>. Chicago: University of Chicago Press, 1990, 1–26.</w:t>
      </w:r>
    </w:p>
  </w:footnote>
  <w:footnote w:id="31">
    <w:p w:rsidR="00ED1224" w:rsidRPr="009B5D10" w:rsidRDefault="00ED1224" w:rsidP="00ED1224">
      <w:pPr>
        <w:pStyle w:val="FootnoteText"/>
        <w:rPr>
          <w:i/>
          <w:sz w:val="24"/>
          <w:szCs w:val="24"/>
        </w:rPr>
      </w:pPr>
      <w:r w:rsidRPr="009B5D10">
        <w:rPr>
          <w:rStyle w:val="FootnoteReference"/>
          <w:sz w:val="24"/>
          <w:szCs w:val="24"/>
        </w:rPr>
        <w:footnoteRef/>
      </w:r>
      <w:r w:rsidRPr="009B5D10">
        <w:rPr>
          <w:sz w:val="24"/>
          <w:szCs w:val="24"/>
        </w:rPr>
        <w:t xml:space="preserve"> See </w:t>
      </w:r>
      <w:proofErr w:type="spellStart"/>
      <w:r w:rsidRPr="009B5D10">
        <w:rPr>
          <w:sz w:val="24"/>
          <w:szCs w:val="24"/>
        </w:rPr>
        <w:t>Wolfhart</w:t>
      </w:r>
      <w:proofErr w:type="spellEnd"/>
      <w:r w:rsidRPr="009B5D10">
        <w:rPr>
          <w:sz w:val="24"/>
          <w:szCs w:val="24"/>
        </w:rPr>
        <w:t xml:space="preserve"> </w:t>
      </w:r>
      <w:proofErr w:type="spellStart"/>
      <w:r w:rsidRPr="009B5D10">
        <w:rPr>
          <w:sz w:val="24"/>
          <w:szCs w:val="24"/>
        </w:rPr>
        <w:t>Pannenberg</w:t>
      </w:r>
      <w:proofErr w:type="spellEnd"/>
      <w:r w:rsidRPr="009B5D10">
        <w:rPr>
          <w:sz w:val="24"/>
          <w:szCs w:val="24"/>
        </w:rPr>
        <w:t xml:space="preserve">, “The Appropriation of the Philosophical Concept of God as a Dogmatic Problem of Early Christian Theology,” </w:t>
      </w:r>
      <w:r w:rsidRPr="009B5D10">
        <w:rPr>
          <w:i/>
          <w:sz w:val="24"/>
          <w:szCs w:val="24"/>
        </w:rPr>
        <w:t xml:space="preserve">Basic Questions in Theology: Collected Essays, Volume II </w:t>
      </w:r>
      <w:r w:rsidRPr="009B5D10">
        <w:rPr>
          <w:sz w:val="24"/>
          <w:szCs w:val="24"/>
        </w:rPr>
        <w:t xml:space="preserve">trans. George H. </w:t>
      </w:r>
      <w:proofErr w:type="spellStart"/>
      <w:r w:rsidRPr="009B5D10">
        <w:rPr>
          <w:sz w:val="24"/>
          <w:szCs w:val="24"/>
        </w:rPr>
        <w:t>Kehm</w:t>
      </w:r>
      <w:proofErr w:type="spellEnd"/>
      <w:r w:rsidRPr="009B5D10">
        <w:rPr>
          <w:sz w:val="24"/>
          <w:szCs w:val="24"/>
        </w:rPr>
        <w:t xml:space="preserve"> (Philadelphia, Fortress, 1971), 119–83. </w:t>
      </w:r>
      <w:r w:rsidR="00C80F99" w:rsidRPr="009B5D10">
        <w:rPr>
          <w:sz w:val="24"/>
          <w:szCs w:val="24"/>
        </w:rPr>
        <w:t xml:space="preserve">Orig. pub. </w:t>
      </w:r>
      <w:proofErr w:type="gramStart"/>
      <w:r w:rsidR="00C80F99" w:rsidRPr="009B5D10">
        <w:rPr>
          <w:sz w:val="24"/>
          <w:szCs w:val="24"/>
        </w:rPr>
        <w:t>i</w:t>
      </w:r>
      <w:r w:rsidRPr="009B5D10">
        <w:rPr>
          <w:sz w:val="24"/>
          <w:szCs w:val="24"/>
        </w:rPr>
        <w:t>n</w:t>
      </w:r>
      <w:proofErr w:type="gramEnd"/>
      <w:r w:rsidRPr="009B5D10">
        <w:rPr>
          <w:sz w:val="24"/>
          <w:szCs w:val="24"/>
        </w:rPr>
        <w:t xml:space="preserve"> German in </w:t>
      </w:r>
      <w:proofErr w:type="spellStart"/>
      <w:r w:rsidRPr="009B5D10">
        <w:rPr>
          <w:i/>
          <w:sz w:val="24"/>
          <w:szCs w:val="24"/>
        </w:rPr>
        <w:t>Zeitschrift</w:t>
      </w:r>
      <w:proofErr w:type="spellEnd"/>
      <w:r w:rsidRPr="009B5D10">
        <w:rPr>
          <w:i/>
          <w:sz w:val="24"/>
          <w:szCs w:val="24"/>
        </w:rPr>
        <w:t xml:space="preserve"> </w:t>
      </w:r>
      <w:proofErr w:type="spellStart"/>
      <w:r w:rsidRPr="009B5D10">
        <w:rPr>
          <w:i/>
          <w:sz w:val="24"/>
          <w:szCs w:val="24"/>
        </w:rPr>
        <w:t>für</w:t>
      </w:r>
      <w:proofErr w:type="spellEnd"/>
      <w:r w:rsidRPr="009B5D10">
        <w:rPr>
          <w:i/>
          <w:sz w:val="24"/>
          <w:szCs w:val="24"/>
        </w:rPr>
        <w:t xml:space="preserve"> </w:t>
      </w:r>
      <w:proofErr w:type="spellStart"/>
      <w:r w:rsidRPr="009B5D10">
        <w:rPr>
          <w:i/>
          <w:sz w:val="24"/>
          <w:szCs w:val="24"/>
        </w:rPr>
        <w:t>Kirchengeschicte</w:t>
      </w:r>
      <w:proofErr w:type="spellEnd"/>
      <w:r w:rsidRPr="009B5D10">
        <w:rPr>
          <w:sz w:val="24"/>
          <w:szCs w:val="24"/>
        </w:rPr>
        <w:t xml:space="preserve"> 70 (1959), 1–45.</w:t>
      </w:r>
      <w:r w:rsidRPr="009B5D10">
        <w:rPr>
          <w:i/>
          <w:sz w:val="24"/>
          <w:szCs w:val="24"/>
        </w:rPr>
        <w:t xml:space="preserve"> </w:t>
      </w:r>
    </w:p>
  </w:footnote>
  <w:footnote w:id="32">
    <w:p w:rsidR="00ED1224" w:rsidRPr="009B5D10" w:rsidRDefault="00ED1224" w:rsidP="00ED1224">
      <w:pPr>
        <w:pStyle w:val="FootnoteText"/>
        <w:rPr>
          <w:sz w:val="24"/>
          <w:szCs w:val="24"/>
        </w:rPr>
      </w:pPr>
      <w:r w:rsidRPr="009B5D10">
        <w:rPr>
          <w:rStyle w:val="FootnoteReference"/>
          <w:sz w:val="24"/>
          <w:szCs w:val="24"/>
        </w:rPr>
        <w:footnoteRef/>
      </w:r>
      <w:r w:rsidRPr="009B5D10">
        <w:rPr>
          <w:sz w:val="24"/>
          <w:szCs w:val="24"/>
        </w:rPr>
        <w:t xml:space="preserve"> See Adolf von </w:t>
      </w:r>
      <w:proofErr w:type="spellStart"/>
      <w:r w:rsidRPr="009B5D10">
        <w:rPr>
          <w:sz w:val="24"/>
          <w:szCs w:val="24"/>
        </w:rPr>
        <w:t>Harnack</w:t>
      </w:r>
      <w:proofErr w:type="spellEnd"/>
      <w:r w:rsidRPr="009B5D10">
        <w:rPr>
          <w:sz w:val="24"/>
          <w:szCs w:val="24"/>
        </w:rPr>
        <w:t xml:space="preserve">, </w:t>
      </w:r>
      <w:r w:rsidRPr="009B5D10">
        <w:rPr>
          <w:i/>
          <w:sz w:val="24"/>
          <w:szCs w:val="24"/>
        </w:rPr>
        <w:t>History of Dogma</w:t>
      </w:r>
      <w:r w:rsidR="00A84FED" w:rsidRPr="009B5D10">
        <w:rPr>
          <w:i/>
          <w:sz w:val="24"/>
          <w:szCs w:val="24"/>
        </w:rPr>
        <w:t>, Volumes IV and V</w:t>
      </w:r>
      <w:r w:rsidRPr="009B5D10">
        <w:rPr>
          <w:sz w:val="24"/>
          <w:szCs w:val="24"/>
        </w:rPr>
        <w:t xml:space="preserve">, </w:t>
      </w:r>
      <w:r w:rsidR="004216C9" w:rsidRPr="009B5D10">
        <w:rPr>
          <w:sz w:val="24"/>
          <w:szCs w:val="24"/>
        </w:rPr>
        <w:t>translated by Neil Buchanan</w:t>
      </w:r>
      <w:r w:rsidR="00A84FED" w:rsidRPr="009B5D10">
        <w:rPr>
          <w:sz w:val="24"/>
          <w:szCs w:val="24"/>
        </w:rPr>
        <w:t xml:space="preserve"> (New York: Dover, 1961 [translated from the 3</w:t>
      </w:r>
      <w:r w:rsidR="00A84FED" w:rsidRPr="009B5D10">
        <w:rPr>
          <w:sz w:val="24"/>
          <w:szCs w:val="24"/>
          <w:vertAlign w:val="superscript"/>
        </w:rPr>
        <w:t>rd</w:t>
      </w:r>
      <w:r w:rsidR="00A84FED" w:rsidRPr="009B5D10">
        <w:rPr>
          <w:sz w:val="24"/>
          <w:szCs w:val="24"/>
        </w:rPr>
        <w:t xml:space="preserve"> German edition of 1900])</w:t>
      </w:r>
      <w:r w:rsidR="004216C9" w:rsidRPr="009B5D10">
        <w:rPr>
          <w:sz w:val="24"/>
          <w:szCs w:val="24"/>
        </w:rPr>
        <w:t>, 26–48, 88–89</w:t>
      </w:r>
      <w:r w:rsidR="00A84FED" w:rsidRPr="009B5D10">
        <w:rPr>
          <w:sz w:val="24"/>
          <w:szCs w:val="24"/>
        </w:rPr>
        <w:t>.</w:t>
      </w:r>
    </w:p>
  </w:footnote>
  <w:footnote w:id="33">
    <w:p w:rsidR="00ED1224" w:rsidRPr="009B5D10" w:rsidRDefault="00ED1224" w:rsidP="00ED1224">
      <w:pPr>
        <w:rPr>
          <w:szCs w:val="24"/>
        </w:rPr>
      </w:pPr>
      <w:r w:rsidRPr="009B5D10">
        <w:rPr>
          <w:rStyle w:val="FootnoteReference"/>
          <w:szCs w:val="24"/>
        </w:rPr>
        <w:footnoteRef/>
      </w:r>
      <w:r w:rsidRPr="009B5D10">
        <w:rPr>
          <w:szCs w:val="24"/>
        </w:rPr>
        <w:t xml:space="preserve"> See </w:t>
      </w:r>
      <w:proofErr w:type="spellStart"/>
      <w:r w:rsidRPr="009B5D10">
        <w:rPr>
          <w:szCs w:val="24"/>
        </w:rPr>
        <w:t>Friedo</w:t>
      </w:r>
      <w:proofErr w:type="spellEnd"/>
      <w:r w:rsidRPr="009B5D10">
        <w:rPr>
          <w:szCs w:val="24"/>
        </w:rPr>
        <w:t xml:space="preserve"> </w:t>
      </w:r>
      <w:proofErr w:type="spellStart"/>
      <w:r w:rsidRPr="009B5D10">
        <w:rPr>
          <w:szCs w:val="24"/>
        </w:rPr>
        <w:t>Ricken</w:t>
      </w:r>
      <w:proofErr w:type="spellEnd"/>
      <w:r w:rsidRPr="009B5D10">
        <w:rPr>
          <w:szCs w:val="24"/>
        </w:rPr>
        <w:t xml:space="preserve">, “Das </w:t>
      </w:r>
      <w:proofErr w:type="spellStart"/>
      <w:r w:rsidRPr="009B5D10">
        <w:rPr>
          <w:szCs w:val="24"/>
        </w:rPr>
        <w:t>Homoousios</w:t>
      </w:r>
      <w:proofErr w:type="spellEnd"/>
      <w:r w:rsidRPr="009B5D10">
        <w:rPr>
          <w:szCs w:val="24"/>
        </w:rPr>
        <w:t xml:space="preserve"> von </w:t>
      </w:r>
      <w:proofErr w:type="spellStart"/>
      <w:r w:rsidRPr="009B5D10">
        <w:rPr>
          <w:szCs w:val="24"/>
        </w:rPr>
        <w:t>Nikaia</w:t>
      </w:r>
      <w:proofErr w:type="spellEnd"/>
      <w:r w:rsidRPr="009B5D10">
        <w:rPr>
          <w:szCs w:val="24"/>
        </w:rPr>
        <w:t xml:space="preserve"> </w:t>
      </w:r>
      <w:proofErr w:type="spellStart"/>
      <w:proofErr w:type="gramStart"/>
      <w:r w:rsidRPr="009B5D10">
        <w:rPr>
          <w:szCs w:val="24"/>
        </w:rPr>
        <w:t>als</w:t>
      </w:r>
      <w:proofErr w:type="spellEnd"/>
      <w:proofErr w:type="gramEnd"/>
      <w:r w:rsidRPr="009B5D10">
        <w:rPr>
          <w:szCs w:val="24"/>
        </w:rPr>
        <w:t xml:space="preserve"> </w:t>
      </w:r>
      <w:proofErr w:type="spellStart"/>
      <w:r w:rsidRPr="009B5D10">
        <w:rPr>
          <w:szCs w:val="24"/>
        </w:rPr>
        <w:t>Krisis</w:t>
      </w:r>
      <w:proofErr w:type="spellEnd"/>
      <w:r w:rsidRPr="009B5D10">
        <w:rPr>
          <w:szCs w:val="24"/>
        </w:rPr>
        <w:t xml:space="preserve"> des </w:t>
      </w:r>
      <w:proofErr w:type="spellStart"/>
      <w:r w:rsidRPr="009B5D10">
        <w:rPr>
          <w:szCs w:val="24"/>
        </w:rPr>
        <w:t>altchristlichen</w:t>
      </w:r>
      <w:proofErr w:type="spellEnd"/>
      <w:r w:rsidRPr="009B5D10">
        <w:rPr>
          <w:szCs w:val="24"/>
        </w:rPr>
        <w:t xml:space="preserve"> </w:t>
      </w:r>
      <w:proofErr w:type="spellStart"/>
      <w:r w:rsidRPr="009B5D10">
        <w:rPr>
          <w:szCs w:val="24"/>
        </w:rPr>
        <w:t>Platonismus</w:t>
      </w:r>
      <w:proofErr w:type="spellEnd"/>
      <w:r w:rsidRPr="009B5D10">
        <w:rPr>
          <w:szCs w:val="24"/>
        </w:rPr>
        <w:t xml:space="preserve">,” in Bernhard </w:t>
      </w:r>
      <w:proofErr w:type="spellStart"/>
      <w:r w:rsidRPr="009B5D10">
        <w:rPr>
          <w:szCs w:val="24"/>
        </w:rPr>
        <w:t>Welte</w:t>
      </w:r>
      <w:proofErr w:type="spellEnd"/>
      <w:r w:rsidRPr="009B5D10">
        <w:rPr>
          <w:szCs w:val="24"/>
        </w:rPr>
        <w:t xml:space="preserve">, ed. </w:t>
      </w:r>
      <w:proofErr w:type="spellStart"/>
      <w:r w:rsidRPr="009B5D10">
        <w:rPr>
          <w:i/>
          <w:szCs w:val="24"/>
        </w:rPr>
        <w:t>Zur</w:t>
      </w:r>
      <w:proofErr w:type="spellEnd"/>
      <w:r w:rsidRPr="009B5D10">
        <w:rPr>
          <w:i/>
          <w:szCs w:val="24"/>
        </w:rPr>
        <w:t xml:space="preserve"> </w:t>
      </w:r>
      <w:proofErr w:type="spellStart"/>
      <w:r w:rsidRPr="009B5D10">
        <w:rPr>
          <w:i/>
          <w:szCs w:val="24"/>
        </w:rPr>
        <w:t>Frühgeschichte</w:t>
      </w:r>
      <w:proofErr w:type="spellEnd"/>
      <w:r w:rsidRPr="009B5D10">
        <w:rPr>
          <w:i/>
          <w:szCs w:val="24"/>
        </w:rPr>
        <w:t xml:space="preserve"> der </w:t>
      </w:r>
      <w:proofErr w:type="spellStart"/>
      <w:r w:rsidRPr="009B5D10">
        <w:rPr>
          <w:i/>
          <w:szCs w:val="24"/>
        </w:rPr>
        <w:t>Christologie</w:t>
      </w:r>
      <w:proofErr w:type="spellEnd"/>
      <w:r w:rsidRPr="009B5D10">
        <w:rPr>
          <w:i/>
          <w:szCs w:val="24"/>
        </w:rPr>
        <w:t xml:space="preserve">: </w:t>
      </w:r>
      <w:proofErr w:type="spellStart"/>
      <w:r w:rsidRPr="009B5D10">
        <w:rPr>
          <w:i/>
          <w:szCs w:val="24"/>
        </w:rPr>
        <w:t>Ihre</w:t>
      </w:r>
      <w:proofErr w:type="spellEnd"/>
      <w:r w:rsidRPr="009B5D10">
        <w:rPr>
          <w:i/>
          <w:szCs w:val="24"/>
        </w:rPr>
        <w:t xml:space="preserve"> </w:t>
      </w:r>
      <w:proofErr w:type="spellStart"/>
      <w:r w:rsidRPr="009B5D10">
        <w:rPr>
          <w:i/>
          <w:szCs w:val="24"/>
        </w:rPr>
        <w:t>biblischen</w:t>
      </w:r>
      <w:proofErr w:type="spellEnd"/>
      <w:r w:rsidRPr="009B5D10">
        <w:rPr>
          <w:i/>
          <w:szCs w:val="24"/>
        </w:rPr>
        <w:t xml:space="preserve"> </w:t>
      </w:r>
      <w:proofErr w:type="spellStart"/>
      <w:r w:rsidRPr="009B5D10">
        <w:rPr>
          <w:i/>
          <w:szCs w:val="24"/>
        </w:rPr>
        <w:t>Anfänge</w:t>
      </w:r>
      <w:proofErr w:type="spellEnd"/>
      <w:r w:rsidRPr="009B5D10">
        <w:rPr>
          <w:i/>
          <w:szCs w:val="24"/>
        </w:rPr>
        <w:t xml:space="preserve"> und die </w:t>
      </w:r>
      <w:proofErr w:type="spellStart"/>
      <w:r w:rsidRPr="009B5D10">
        <w:rPr>
          <w:i/>
          <w:szCs w:val="24"/>
        </w:rPr>
        <w:t>Lehrformel</w:t>
      </w:r>
      <w:proofErr w:type="spellEnd"/>
      <w:r w:rsidRPr="009B5D10">
        <w:rPr>
          <w:i/>
          <w:szCs w:val="24"/>
        </w:rPr>
        <w:t xml:space="preserve"> von </w:t>
      </w:r>
      <w:proofErr w:type="spellStart"/>
      <w:r w:rsidRPr="009B5D10">
        <w:rPr>
          <w:i/>
          <w:szCs w:val="24"/>
        </w:rPr>
        <w:t>Nikaia</w:t>
      </w:r>
      <w:proofErr w:type="spellEnd"/>
      <w:r w:rsidRPr="009B5D10">
        <w:rPr>
          <w:szCs w:val="24"/>
        </w:rPr>
        <w:t xml:space="preserve">, </w:t>
      </w:r>
      <w:proofErr w:type="spellStart"/>
      <w:r w:rsidRPr="009B5D10">
        <w:rPr>
          <w:szCs w:val="24"/>
        </w:rPr>
        <w:t>Quaetiones</w:t>
      </w:r>
      <w:proofErr w:type="spellEnd"/>
      <w:r w:rsidRPr="009B5D10">
        <w:rPr>
          <w:szCs w:val="24"/>
        </w:rPr>
        <w:t xml:space="preserve"> </w:t>
      </w:r>
      <w:proofErr w:type="spellStart"/>
      <w:r w:rsidRPr="009B5D10">
        <w:rPr>
          <w:szCs w:val="24"/>
        </w:rPr>
        <w:t>Disputatae</w:t>
      </w:r>
      <w:proofErr w:type="spellEnd"/>
      <w:r w:rsidRPr="009B5D10">
        <w:rPr>
          <w:szCs w:val="24"/>
        </w:rPr>
        <w:t xml:space="preserve"> 51 (Freiburg, Basel, Wien: Herder, 1971), 74–99 [orig. pub. in </w:t>
      </w:r>
      <w:proofErr w:type="spellStart"/>
      <w:r w:rsidRPr="009B5D10">
        <w:rPr>
          <w:i/>
          <w:szCs w:val="24"/>
        </w:rPr>
        <w:t>Theologie</w:t>
      </w:r>
      <w:proofErr w:type="spellEnd"/>
      <w:r w:rsidRPr="009B5D10">
        <w:rPr>
          <w:i/>
          <w:szCs w:val="24"/>
        </w:rPr>
        <w:t xml:space="preserve"> und </w:t>
      </w:r>
      <w:proofErr w:type="spellStart"/>
      <w:r w:rsidRPr="009B5D10">
        <w:rPr>
          <w:i/>
          <w:szCs w:val="24"/>
        </w:rPr>
        <w:t>Philosophie</w:t>
      </w:r>
      <w:proofErr w:type="spellEnd"/>
      <w:r w:rsidRPr="009B5D10">
        <w:rPr>
          <w:szCs w:val="24"/>
        </w:rPr>
        <w:t xml:space="preserve"> 44 (1969), 321–41].</w:t>
      </w:r>
    </w:p>
  </w:footnote>
  <w:footnote w:id="34">
    <w:p w:rsidR="0001143C" w:rsidRPr="009B5D10" w:rsidRDefault="0001143C" w:rsidP="0001143C">
      <w:pPr>
        <w:pStyle w:val="FootnoteText"/>
        <w:rPr>
          <w:sz w:val="24"/>
          <w:szCs w:val="24"/>
        </w:rPr>
      </w:pPr>
      <w:r w:rsidRPr="009B5D10">
        <w:rPr>
          <w:rStyle w:val="FootnoteReference"/>
          <w:sz w:val="24"/>
          <w:szCs w:val="24"/>
        </w:rPr>
        <w:footnoteRef/>
      </w:r>
      <w:r w:rsidRPr="009B5D10">
        <w:rPr>
          <w:sz w:val="24"/>
          <w:szCs w:val="24"/>
        </w:rPr>
        <w:t xml:space="preserve"> J. N. D. Kelly, </w:t>
      </w:r>
      <w:r w:rsidRPr="009B5D10">
        <w:rPr>
          <w:i/>
          <w:sz w:val="24"/>
          <w:szCs w:val="24"/>
        </w:rPr>
        <w:t>Early Christian Doctrines</w:t>
      </w:r>
      <w:r w:rsidRPr="009B5D10">
        <w:rPr>
          <w:sz w:val="24"/>
          <w:szCs w:val="24"/>
        </w:rPr>
        <w:t xml:space="preserve">, rev. ed. (New York: Harper, 1978), 131. </w:t>
      </w:r>
    </w:p>
  </w:footnote>
  <w:footnote w:id="35">
    <w:p w:rsidR="0001143C" w:rsidRPr="009B5D10" w:rsidRDefault="0001143C" w:rsidP="0001143C">
      <w:pPr>
        <w:pStyle w:val="FootnoteText"/>
        <w:rPr>
          <w:sz w:val="24"/>
          <w:szCs w:val="24"/>
        </w:rPr>
      </w:pPr>
      <w:r w:rsidRPr="009B5D10">
        <w:rPr>
          <w:rStyle w:val="FootnoteReference"/>
          <w:sz w:val="24"/>
          <w:szCs w:val="24"/>
        </w:rPr>
        <w:footnoteRef/>
      </w:r>
      <w:r w:rsidRPr="009B5D10">
        <w:rPr>
          <w:sz w:val="24"/>
          <w:szCs w:val="24"/>
        </w:rPr>
        <w:t xml:space="preserve"> Kelly, </w:t>
      </w:r>
      <w:r w:rsidRPr="009B5D10">
        <w:rPr>
          <w:i/>
          <w:sz w:val="24"/>
          <w:szCs w:val="24"/>
        </w:rPr>
        <w:t>Early Christian Doctrines</w:t>
      </w:r>
      <w:r w:rsidRPr="009B5D10">
        <w:rPr>
          <w:sz w:val="24"/>
          <w:szCs w:val="24"/>
        </w:rPr>
        <w:t xml:space="preserve">, 249; for a survey of the literature up to 1988, see R. P. C. Hanson, </w:t>
      </w:r>
      <w:r w:rsidRPr="009B5D10">
        <w:rPr>
          <w:i/>
          <w:sz w:val="24"/>
          <w:szCs w:val="24"/>
        </w:rPr>
        <w:t xml:space="preserve">The Search for a Christian Doctrine of God: The Arian Controversy, 318–381 </w:t>
      </w:r>
      <w:r w:rsidRPr="009B5D10">
        <w:rPr>
          <w:sz w:val="24"/>
          <w:szCs w:val="24"/>
        </w:rPr>
        <w:t>(Grand Rapids, MI: Baker Academic, 1988), 85–89.</w:t>
      </w:r>
    </w:p>
  </w:footnote>
  <w:footnote w:id="36">
    <w:p w:rsidR="00300862" w:rsidRPr="009B5D10" w:rsidRDefault="00300862">
      <w:pPr>
        <w:pStyle w:val="FootnoteText"/>
        <w:rPr>
          <w:sz w:val="24"/>
          <w:szCs w:val="24"/>
        </w:rPr>
      </w:pPr>
      <w:r w:rsidRPr="009B5D10">
        <w:rPr>
          <w:rStyle w:val="FootnoteReference"/>
          <w:sz w:val="24"/>
          <w:szCs w:val="24"/>
        </w:rPr>
        <w:footnoteRef/>
      </w:r>
      <w:r w:rsidRPr="009B5D10">
        <w:rPr>
          <w:sz w:val="24"/>
          <w:szCs w:val="24"/>
        </w:rPr>
        <w:t xml:space="preserve"> David Bentley Hart, </w:t>
      </w:r>
      <w:proofErr w:type="gramStart"/>
      <w:r w:rsidRPr="009B5D10">
        <w:rPr>
          <w:i/>
          <w:sz w:val="24"/>
          <w:szCs w:val="24"/>
        </w:rPr>
        <w:t>The</w:t>
      </w:r>
      <w:proofErr w:type="gramEnd"/>
      <w:r w:rsidRPr="009B5D10">
        <w:rPr>
          <w:i/>
          <w:sz w:val="24"/>
          <w:szCs w:val="24"/>
        </w:rPr>
        <w:t xml:space="preserve"> Hidden and the Manifest: Essays in Theology and Metaphysics</w:t>
      </w:r>
      <w:r w:rsidRPr="009B5D10">
        <w:rPr>
          <w:sz w:val="24"/>
          <w:szCs w:val="24"/>
        </w:rPr>
        <w:t xml:space="preserve"> (Grand Rapids, MI: Eerdmans, 2017), 143.</w:t>
      </w:r>
    </w:p>
  </w:footnote>
  <w:footnote w:id="37">
    <w:p w:rsidR="00300862" w:rsidRPr="009B5D10" w:rsidRDefault="00300862">
      <w:pPr>
        <w:pStyle w:val="FootnoteText"/>
        <w:rPr>
          <w:sz w:val="24"/>
          <w:szCs w:val="24"/>
        </w:rPr>
      </w:pPr>
      <w:r w:rsidRPr="009B5D10">
        <w:rPr>
          <w:rStyle w:val="FootnoteReference"/>
          <w:sz w:val="24"/>
          <w:szCs w:val="24"/>
        </w:rPr>
        <w:footnoteRef/>
      </w:r>
      <w:r w:rsidRPr="009B5D10">
        <w:rPr>
          <w:sz w:val="24"/>
          <w:szCs w:val="24"/>
        </w:rPr>
        <w:t xml:space="preserve"> Hart, </w:t>
      </w:r>
      <w:proofErr w:type="gramStart"/>
      <w:r w:rsidRPr="009B5D10">
        <w:rPr>
          <w:i/>
          <w:sz w:val="24"/>
          <w:szCs w:val="24"/>
        </w:rPr>
        <w:t>The</w:t>
      </w:r>
      <w:proofErr w:type="gramEnd"/>
      <w:r w:rsidRPr="009B5D10">
        <w:rPr>
          <w:i/>
          <w:sz w:val="24"/>
          <w:szCs w:val="24"/>
        </w:rPr>
        <w:t xml:space="preserve"> Hidden and the Manifest</w:t>
      </w:r>
      <w:r w:rsidRPr="009B5D10">
        <w:rPr>
          <w:sz w:val="24"/>
          <w:szCs w:val="24"/>
        </w:rPr>
        <w:t>, 149–50.</w:t>
      </w:r>
    </w:p>
  </w:footnote>
  <w:footnote w:id="38">
    <w:p w:rsidR="002A5715" w:rsidRPr="009B5D10" w:rsidRDefault="002A5715">
      <w:pPr>
        <w:pStyle w:val="FootnoteText"/>
        <w:rPr>
          <w:sz w:val="24"/>
          <w:szCs w:val="24"/>
        </w:rPr>
      </w:pPr>
      <w:r w:rsidRPr="009B5D10">
        <w:rPr>
          <w:rStyle w:val="FootnoteReference"/>
          <w:sz w:val="24"/>
          <w:szCs w:val="24"/>
        </w:rPr>
        <w:footnoteRef/>
      </w:r>
      <w:r w:rsidRPr="009B5D10">
        <w:rPr>
          <w:sz w:val="24"/>
          <w:szCs w:val="24"/>
        </w:rPr>
        <w:t xml:space="preserve"> </w:t>
      </w:r>
      <w:proofErr w:type="spellStart"/>
      <w:r w:rsidRPr="009B5D10">
        <w:rPr>
          <w:i/>
          <w:sz w:val="24"/>
          <w:szCs w:val="24"/>
        </w:rPr>
        <w:t>Eun</w:t>
      </w:r>
      <w:proofErr w:type="spellEnd"/>
      <w:r w:rsidRPr="009B5D10">
        <w:rPr>
          <w:sz w:val="24"/>
          <w:szCs w:val="24"/>
        </w:rPr>
        <w:t>. 3.9.59 (286.21–26 Jaeger).</w:t>
      </w:r>
    </w:p>
  </w:footnote>
  <w:footnote w:id="39">
    <w:p w:rsidR="00776C50" w:rsidRPr="009B5D10" w:rsidRDefault="00776C50" w:rsidP="00776C50">
      <w:pPr>
        <w:pStyle w:val="FootnoteText"/>
        <w:rPr>
          <w:sz w:val="24"/>
          <w:szCs w:val="24"/>
        </w:rPr>
      </w:pPr>
      <w:r w:rsidRPr="009B5D10">
        <w:rPr>
          <w:rStyle w:val="FootnoteReference"/>
          <w:sz w:val="24"/>
          <w:szCs w:val="24"/>
        </w:rPr>
        <w:footnoteRef/>
      </w:r>
      <w:r w:rsidRPr="009B5D10">
        <w:rPr>
          <w:sz w:val="24"/>
          <w:szCs w:val="24"/>
        </w:rPr>
        <w:t xml:space="preserve"> See the parallel at </w:t>
      </w:r>
      <w:r w:rsidRPr="009B5D10">
        <w:rPr>
          <w:i/>
          <w:sz w:val="24"/>
          <w:szCs w:val="24"/>
        </w:rPr>
        <w:t xml:space="preserve">Refutation of </w:t>
      </w:r>
      <w:proofErr w:type="spellStart"/>
      <w:r w:rsidRPr="009B5D10">
        <w:rPr>
          <w:i/>
          <w:sz w:val="24"/>
          <w:szCs w:val="24"/>
        </w:rPr>
        <w:t>Eunomius</w:t>
      </w:r>
      <w:proofErr w:type="spellEnd"/>
      <w:r w:rsidRPr="009B5D10">
        <w:rPr>
          <w:i/>
          <w:sz w:val="24"/>
          <w:szCs w:val="24"/>
        </w:rPr>
        <w:t xml:space="preserve">’ </w:t>
      </w:r>
      <w:r w:rsidRPr="009B5D10">
        <w:rPr>
          <w:i/>
          <w:sz w:val="24"/>
          <w:szCs w:val="24"/>
          <w:u w:val="single"/>
        </w:rPr>
        <w:t>Confession</w:t>
      </w:r>
      <w:r w:rsidRPr="009B5D10">
        <w:rPr>
          <w:sz w:val="24"/>
          <w:szCs w:val="24"/>
        </w:rPr>
        <w:t xml:space="preserve"> 48 (332.4–14 Jaeger), where Gregory accuses </w:t>
      </w:r>
      <w:proofErr w:type="spellStart"/>
      <w:r w:rsidRPr="009B5D10">
        <w:rPr>
          <w:sz w:val="24"/>
          <w:szCs w:val="24"/>
        </w:rPr>
        <w:t>Eunomius</w:t>
      </w:r>
      <w:proofErr w:type="spellEnd"/>
      <w:r w:rsidRPr="009B5D10">
        <w:rPr>
          <w:sz w:val="24"/>
          <w:szCs w:val="24"/>
        </w:rPr>
        <w:t xml:space="preserve"> of following either Judaism or Plato’s </w:t>
      </w:r>
      <w:proofErr w:type="spellStart"/>
      <w:r w:rsidRPr="009B5D10">
        <w:rPr>
          <w:i/>
          <w:sz w:val="24"/>
          <w:szCs w:val="24"/>
        </w:rPr>
        <w:t>Timaeus</w:t>
      </w:r>
      <w:proofErr w:type="spellEnd"/>
      <w:r w:rsidRPr="009B5D10">
        <w:rPr>
          <w:sz w:val="24"/>
          <w:szCs w:val="24"/>
        </w:rPr>
        <w:t xml:space="preserve">. </w:t>
      </w:r>
    </w:p>
  </w:footnote>
  <w:footnote w:id="40">
    <w:p w:rsidR="00FB719B" w:rsidRPr="009B5D10" w:rsidRDefault="00FB719B">
      <w:pPr>
        <w:pStyle w:val="FootnoteText"/>
        <w:rPr>
          <w:sz w:val="24"/>
          <w:szCs w:val="24"/>
        </w:rPr>
      </w:pPr>
      <w:r w:rsidRPr="009B5D10">
        <w:rPr>
          <w:rStyle w:val="FootnoteReference"/>
          <w:sz w:val="24"/>
          <w:szCs w:val="24"/>
        </w:rPr>
        <w:footnoteRef/>
      </w:r>
      <w:r w:rsidRPr="009B5D10">
        <w:rPr>
          <w:sz w:val="24"/>
          <w:szCs w:val="24"/>
        </w:rPr>
        <w:t xml:space="preserve"> Cyril, </w:t>
      </w:r>
      <w:r w:rsidRPr="009B5D10">
        <w:rPr>
          <w:i/>
          <w:sz w:val="24"/>
          <w:szCs w:val="24"/>
        </w:rPr>
        <w:t>Against Julian</w:t>
      </w:r>
      <w:r w:rsidR="00C514C2" w:rsidRPr="009B5D10">
        <w:rPr>
          <w:sz w:val="24"/>
          <w:szCs w:val="24"/>
        </w:rPr>
        <w:t xml:space="preserve"> 8.26 (567 </w:t>
      </w:r>
      <w:proofErr w:type="spellStart"/>
      <w:r w:rsidR="00C514C2" w:rsidRPr="009B5D10">
        <w:rPr>
          <w:sz w:val="24"/>
          <w:szCs w:val="24"/>
        </w:rPr>
        <w:t>Kinzig</w:t>
      </w:r>
      <w:proofErr w:type="spellEnd"/>
      <w:r w:rsidR="00C514C2" w:rsidRPr="009B5D10">
        <w:rPr>
          <w:sz w:val="24"/>
          <w:szCs w:val="24"/>
        </w:rPr>
        <w:t xml:space="preserve"> and </w:t>
      </w:r>
      <w:proofErr w:type="spellStart"/>
      <w:r w:rsidR="00C514C2" w:rsidRPr="009B5D10">
        <w:rPr>
          <w:sz w:val="24"/>
          <w:szCs w:val="24"/>
        </w:rPr>
        <w:t>Brüggemann</w:t>
      </w:r>
      <w:proofErr w:type="spellEnd"/>
      <w:r w:rsidR="008B5BDE">
        <w:rPr>
          <w:sz w:val="24"/>
          <w:szCs w:val="24"/>
        </w:rPr>
        <w:t>; trans. Crawford, forthcoming</w:t>
      </w:r>
      <w:r w:rsidR="00C514C2" w:rsidRPr="009B5D10">
        <w:rPr>
          <w:sz w:val="24"/>
          <w:szCs w:val="24"/>
        </w:rPr>
        <w:t xml:space="preserve">); 8.30 (573 </w:t>
      </w:r>
      <w:proofErr w:type="spellStart"/>
      <w:r w:rsidR="00C514C2" w:rsidRPr="009B5D10">
        <w:rPr>
          <w:sz w:val="24"/>
          <w:szCs w:val="24"/>
        </w:rPr>
        <w:t>Kinzig</w:t>
      </w:r>
      <w:proofErr w:type="spellEnd"/>
      <w:r w:rsidR="00C514C2" w:rsidRPr="009B5D10">
        <w:rPr>
          <w:sz w:val="24"/>
          <w:szCs w:val="24"/>
        </w:rPr>
        <w:t xml:space="preserve"> and </w:t>
      </w:r>
      <w:proofErr w:type="spellStart"/>
      <w:r w:rsidR="00C514C2" w:rsidRPr="009B5D10">
        <w:rPr>
          <w:sz w:val="24"/>
          <w:szCs w:val="24"/>
        </w:rPr>
        <w:t>Brüggemann</w:t>
      </w:r>
      <w:proofErr w:type="spellEnd"/>
      <w:r w:rsidR="008B5BDE">
        <w:rPr>
          <w:sz w:val="24"/>
          <w:szCs w:val="24"/>
        </w:rPr>
        <w:t>; trans. Crawford, forthcoming</w:t>
      </w:r>
      <w:r w:rsidRPr="009B5D10">
        <w:rPr>
          <w:sz w:val="24"/>
          <w:szCs w:val="24"/>
        </w:rPr>
        <w:t>).</w:t>
      </w:r>
    </w:p>
  </w:footnote>
  <w:footnote w:id="41">
    <w:p w:rsidR="000F6E2C" w:rsidRPr="009B5D10" w:rsidRDefault="000F6E2C">
      <w:pPr>
        <w:pStyle w:val="FootnoteText"/>
        <w:rPr>
          <w:sz w:val="24"/>
          <w:szCs w:val="24"/>
        </w:rPr>
      </w:pPr>
      <w:r w:rsidRPr="009B5D10">
        <w:rPr>
          <w:rStyle w:val="FootnoteReference"/>
          <w:sz w:val="24"/>
          <w:szCs w:val="24"/>
        </w:rPr>
        <w:footnoteRef/>
      </w:r>
      <w:r w:rsidRPr="009B5D10">
        <w:rPr>
          <w:sz w:val="24"/>
          <w:szCs w:val="24"/>
        </w:rPr>
        <w:t xml:space="preserve"> See Andrew Radde-Gallwitz, </w:t>
      </w:r>
      <w:r w:rsidRPr="009B5D10">
        <w:rPr>
          <w:i/>
          <w:sz w:val="24"/>
          <w:szCs w:val="24"/>
        </w:rPr>
        <w:t>Gregory of Nyssa’s Doctrinal Works: A Literary Study</w:t>
      </w:r>
      <w:r w:rsidR="005E1FED">
        <w:rPr>
          <w:sz w:val="24"/>
          <w:szCs w:val="24"/>
        </w:rPr>
        <w:t>,</w:t>
      </w:r>
      <w:r w:rsidRPr="009B5D10">
        <w:rPr>
          <w:sz w:val="24"/>
          <w:szCs w:val="24"/>
        </w:rPr>
        <w:t xml:space="preserve"> </w:t>
      </w:r>
      <w:r w:rsidR="005E1FED">
        <w:rPr>
          <w:sz w:val="24"/>
          <w:szCs w:val="24"/>
        </w:rPr>
        <w:t xml:space="preserve">Oxford Early Christian Studies </w:t>
      </w:r>
      <w:r w:rsidRPr="009B5D10">
        <w:rPr>
          <w:sz w:val="24"/>
          <w:szCs w:val="24"/>
        </w:rPr>
        <w:t>(Oxfor</w:t>
      </w:r>
      <w:r w:rsidR="008B5BDE">
        <w:rPr>
          <w:sz w:val="24"/>
          <w:szCs w:val="24"/>
        </w:rPr>
        <w:t>d: Oxford University Press, 2018</w:t>
      </w:r>
      <w:r w:rsidRPr="009B5D10">
        <w:rPr>
          <w:sz w:val="24"/>
          <w:szCs w:val="24"/>
        </w:rPr>
        <w:t xml:space="preserve">), </w:t>
      </w:r>
      <w:r w:rsidR="00570377" w:rsidRPr="009B5D10">
        <w:rPr>
          <w:sz w:val="24"/>
          <w:szCs w:val="24"/>
        </w:rPr>
        <w:t>247–56.</w:t>
      </w:r>
    </w:p>
  </w:footnote>
  <w:footnote w:id="42">
    <w:p w:rsidR="00291A03" w:rsidRPr="009B5D10" w:rsidRDefault="00291A03" w:rsidP="00291A03">
      <w:pPr>
        <w:pStyle w:val="FootnoteText"/>
        <w:rPr>
          <w:sz w:val="24"/>
          <w:szCs w:val="24"/>
        </w:rPr>
      </w:pPr>
      <w:r w:rsidRPr="009B5D10">
        <w:rPr>
          <w:rStyle w:val="FootnoteReference"/>
          <w:sz w:val="24"/>
          <w:szCs w:val="24"/>
        </w:rPr>
        <w:footnoteRef/>
      </w:r>
      <w:r w:rsidRPr="009B5D10">
        <w:rPr>
          <w:sz w:val="24"/>
          <w:szCs w:val="24"/>
        </w:rPr>
        <w:t xml:space="preserve"> Cyril, </w:t>
      </w:r>
      <w:r w:rsidRPr="009B5D10">
        <w:rPr>
          <w:i/>
          <w:sz w:val="24"/>
          <w:szCs w:val="24"/>
        </w:rPr>
        <w:t xml:space="preserve">Against Julian </w:t>
      </w:r>
      <w:r w:rsidR="00C514C2" w:rsidRPr="009B5D10">
        <w:rPr>
          <w:sz w:val="24"/>
          <w:szCs w:val="24"/>
        </w:rPr>
        <w:t xml:space="preserve">8.26 (567 </w:t>
      </w:r>
      <w:proofErr w:type="spellStart"/>
      <w:r w:rsidR="00C514C2" w:rsidRPr="009B5D10">
        <w:rPr>
          <w:sz w:val="24"/>
          <w:szCs w:val="24"/>
        </w:rPr>
        <w:t>Kinzig</w:t>
      </w:r>
      <w:proofErr w:type="spellEnd"/>
      <w:r w:rsidR="00C514C2" w:rsidRPr="009B5D10">
        <w:rPr>
          <w:sz w:val="24"/>
          <w:szCs w:val="24"/>
        </w:rPr>
        <w:t xml:space="preserve"> and </w:t>
      </w:r>
      <w:proofErr w:type="spellStart"/>
      <w:r w:rsidR="00C514C2" w:rsidRPr="009B5D10">
        <w:rPr>
          <w:sz w:val="24"/>
          <w:szCs w:val="24"/>
        </w:rPr>
        <w:t>Brüggemann</w:t>
      </w:r>
      <w:proofErr w:type="spellEnd"/>
      <w:r w:rsidR="00C514C2" w:rsidRPr="009B5D10">
        <w:rPr>
          <w:sz w:val="24"/>
          <w:szCs w:val="24"/>
        </w:rPr>
        <w:t>;</w:t>
      </w:r>
      <w:r w:rsidRPr="009B5D10">
        <w:rPr>
          <w:sz w:val="24"/>
          <w:szCs w:val="24"/>
        </w:rPr>
        <w:t xml:space="preserve"> trans. Crawford, forthcoming). </w:t>
      </w:r>
    </w:p>
  </w:footnote>
  <w:footnote w:id="43">
    <w:p w:rsidR="00FB719B" w:rsidRPr="009B5D10" w:rsidRDefault="00FB719B">
      <w:pPr>
        <w:pStyle w:val="FootnoteText"/>
        <w:rPr>
          <w:sz w:val="24"/>
          <w:szCs w:val="24"/>
        </w:rPr>
      </w:pPr>
      <w:r w:rsidRPr="009B5D10">
        <w:rPr>
          <w:rStyle w:val="FootnoteReference"/>
          <w:sz w:val="24"/>
          <w:szCs w:val="24"/>
        </w:rPr>
        <w:footnoteRef/>
      </w:r>
      <w:r w:rsidRPr="009B5D10">
        <w:rPr>
          <w:sz w:val="24"/>
          <w:szCs w:val="24"/>
        </w:rPr>
        <w:t xml:space="preserve"> Plotinus, </w:t>
      </w:r>
      <w:proofErr w:type="spellStart"/>
      <w:r w:rsidRPr="009B5D10">
        <w:rPr>
          <w:i/>
          <w:sz w:val="24"/>
          <w:szCs w:val="24"/>
        </w:rPr>
        <w:t>Enn</w:t>
      </w:r>
      <w:proofErr w:type="spellEnd"/>
      <w:r w:rsidR="00C80F99" w:rsidRPr="009B5D10">
        <w:rPr>
          <w:sz w:val="24"/>
          <w:szCs w:val="24"/>
        </w:rPr>
        <w:t>. 5.1.6.53</w:t>
      </w:r>
      <w:r w:rsidRPr="009B5D10">
        <w:rPr>
          <w:sz w:val="24"/>
          <w:szCs w:val="24"/>
        </w:rPr>
        <w:t xml:space="preserve">, cited at Cyril, </w:t>
      </w:r>
      <w:r w:rsidRPr="009B5D10">
        <w:rPr>
          <w:i/>
          <w:sz w:val="24"/>
          <w:szCs w:val="24"/>
        </w:rPr>
        <w:t>Against Julian</w:t>
      </w:r>
      <w:r w:rsidR="00C514C2" w:rsidRPr="009B5D10">
        <w:rPr>
          <w:sz w:val="24"/>
          <w:szCs w:val="24"/>
        </w:rPr>
        <w:t xml:space="preserve"> 8.31 (573 </w:t>
      </w:r>
      <w:proofErr w:type="spellStart"/>
      <w:r w:rsidR="00C514C2" w:rsidRPr="009B5D10">
        <w:rPr>
          <w:sz w:val="24"/>
          <w:szCs w:val="24"/>
        </w:rPr>
        <w:t>Kinzig</w:t>
      </w:r>
      <w:proofErr w:type="spellEnd"/>
      <w:r w:rsidR="00C514C2" w:rsidRPr="009B5D10">
        <w:rPr>
          <w:sz w:val="24"/>
          <w:szCs w:val="24"/>
        </w:rPr>
        <w:t xml:space="preserve"> and </w:t>
      </w:r>
      <w:proofErr w:type="spellStart"/>
      <w:r w:rsidR="00C514C2" w:rsidRPr="009B5D10">
        <w:rPr>
          <w:sz w:val="24"/>
          <w:szCs w:val="24"/>
        </w:rPr>
        <w:t>Brüggemann</w:t>
      </w:r>
      <w:proofErr w:type="spellEnd"/>
      <w:r w:rsidRPr="009B5D10">
        <w:rPr>
          <w:sz w:val="24"/>
          <w:szCs w:val="24"/>
        </w:rPr>
        <w:t xml:space="preserve">; trans. Crawford, forthcoming). </w:t>
      </w:r>
    </w:p>
  </w:footnote>
  <w:footnote w:id="44">
    <w:p w:rsidR="00F43632" w:rsidRPr="009B5D10" w:rsidRDefault="00F43632" w:rsidP="00F43632">
      <w:pPr>
        <w:pStyle w:val="FootnoteText"/>
        <w:rPr>
          <w:sz w:val="24"/>
          <w:szCs w:val="24"/>
        </w:rPr>
      </w:pPr>
      <w:r w:rsidRPr="009B5D10">
        <w:rPr>
          <w:rStyle w:val="FootnoteReference"/>
          <w:sz w:val="24"/>
          <w:szCs w:val="24"/>
        </w:rPr>
        <w:footnoteRef/>
      </w:r>
      <w:r w:rsidRPr="009B5D10">
        <w:rPr>
          <w:sz w:val="24"/>
          <w:szCs w:val="24"/>
        </w:rPr>
        <w:t xml:space="preserve"> Rowan Williams, </w:t>
      </w:r>
      <w:r w:rsidRPr="009B5D10">
        <w:rPr>
          <w:i/>
          <w:sz w:val="24"/>
          <w:szCs w:val="24"/>
        </w:rPr>
        <w:t>Arius: Heresy &amp; Tradition</w:t>
      </w:r>
      <w:r w:rsidRPr="009B5D10">
        <w:rPr>
          <w:sz w:val="24"/>
          <w:szCs w:val="24"/>
        </w:rPr>
        <w:t>, rev. ed. (Grand Rapids, MI and Cambridge, UK: Eerdmans, 2002), 209.</w:t>
      </w:r>
    </w:p>
  </w:footnote>
  <w:footnote w:id="45">
    <w:p w:rsidR="00E719F2" w:rsidRPr="009B5D10" w:rsidRDefault="00E719F2">
      <w:pPr>
        <w:pStyle w:val="FootnoteText"/>
        <w:rPr>
          <w:sz w:val="24"/>
          <w:szCs w:val="24"/>
        </w:rPr>
      </w:pPr>
      <w:r w:rsidRPr="009B5D10">
        <w:rPr>
          <w:rStyle w:val="FootnoteReference"/>
          <w:sz w:val="24"/>
          <w:szCs w:val="24"/>
        </w:rPr>
        <w:footnoteRef/>
      </w:r>
      <w:r w:rsidRPr="009B5D10">
        <w:rPr>
          <w:sz w:val="24"/>
          <w:szCs w:val="24"/>
        </w:rPr>
        <w:t xml:space="preserve"> Plotinus, </w:t>
      </w:r>
      <w:proofErr w:type="spellStart"/>
      <w:r w:rsidRPr="009B5D10">
        <w:rPr>
          <w:i/>
          <w:sz w:val="24"/>
          <w:szCs w:val="24"/>
        </w:rPr>
        <w:t>Enn</w:t>
      </w:r>
      <w:proofErr w:type="spellEnd"/>
      <w:r w:rsidR="007D4723" w:rsidRPr="009B5D10">
        <w:rPr>
          <w:sz w:val="24"/>
          <w:szCs w:val="24"/>
        </w:rPr>
        <w:t>. 5.1.6.25–27</w:t>
      </w:r>
      <w:r w:rsidRPr="009B5D10">
        <w:rPr>
          <w:sz w:val="24"/>
          <w:szCs w:val="24"/>
        </w:rPr>
        <w:t>; 5.3.12.28–31.</w:t>
      </w:r>
    </w:p>
  </w:footnote>
  <w:footnote w:id="46">
    <w:p w:rsidR="00F43632" w:rsidRPr="009B5D10" w:rsidRDefault="00F43632" w:rsidP="00F43632">
      <w:pPr>
        <w:pStyle w:val="FootnoteText"/>
        <w:rPr>
          <w:sz w:val="24"/>
          <w:szCs w:val="24"/>
        </w:rPr>
      </w:pPr>
      <w:r w:rsidRPr="009B5D10">
        <w:rPr>
          <w:rStyle w:val="FootnoteReference"/>
          <w:sz w:val="24"/>
          <w:szCs w:val="24"/>
        </w:rPr>
        <w:footnoteRef/>
      </w:r>
      <w:r w:rsidRPr="009B5D10">
        <w:rPr>
          <w:sz w:val="24"/>
          <w:szCs w:val="24"/>
        </w:rPr>
        <w:t xml:space="preserve"> </w:t>
      </w:r>
      <w:proofErr w:type="spellStart"/>
      <w:r w:rsidRPr="009B5D10">
        <w:rPr>
          <w:i/>
          <w:sz w:val="24"/>
          <w:szCs w:val="24"/>
        </w:rPr>
        <w:t>Enn</w:t>
      </w:r>
      <w:proofErr w:type="spellEnd"/>
      <w:r w:rsidR="007D4723" w:rsidRPr="009B5D10">
        <w:rPr>
          <w:sz w:val="24"/>
          <w:szCs w:val="24"/>
        </w:rPr>
        <w:t>. 6.8.21</w:t>
      </w:r>
      <w:r w:rsidRPr="009B5D10">
        <w:rPr>
          <w:sz w:val="24"/>
          <w:szCs w:val="24"/>
        </w:rPr>
        <w:t>.</w:t>
      </w:r>
    </w:p>
  </w:footnote>
  <w:footnote w:id="47">
    <w:p w:rsidR="00F43632" w:rsidRPr="009B5D10" w:rsidRDefault="00F43632" w:rsidP="00F43632">
      <w:pPr>
        <w:pStyle w:val="FootnoteText"/>
        <w:rPr>
          <w:sz w:val="24"/>
          <w:szCs w:val="24"/>
        </w:rPr>
      </w:pPr>
      <w:r w:rsidRPr="009B5D10">
        <w:rPr>
          <w:rStyle w:val="FootnoteReference"/>
          <w:sz w:val="24"/>
          <w:szCs w:val="24"/>
        </w:rPr>
        <w:footnoteRef/>
      </w:r>
      <w:r w:rsidRPr="009B5D10">
        <w:rPr>
          <w:sz w:val="24"/>
          <w:szCs w:val="24"/>
        </w:rPr>
        <w:t xml:space="preserve"> </w:t>
      </w:r>
      <w:proofErr w:type="spellStart"/>
      <w:r w:rsidRPr="009B5D10">
        <w:rPr>
          <w:i/>
          <w:sz w:val="24"/>
          <w:szCs w:val="24"/>
        </w:rPr>
        <w:t>Enn</w:t>
      </w:r>
      <w:proofErr w:type="spellEnd"/>
      <w:r w:rsidRPr="009B5D10">
        <w:rPr>
          <w:sz w:val="24"/>
          <w:szCs w:val="24"/>
        </w:rPr>
        <w:t xml:space="preserve">. 2.1.1.1–4; </w:t>
      </w:r>
      <w:r w:rsidR="00F2629F" w:rsidRPr="009B5D10">
        <w:rPr>
          <w:sz w:val="24"/>
          <w:szCs w:val="24"/>
        </w:rPr>
        <w:t xml:space="preserve">R. J. </w:t>
      </w:r>
      <w:r w:rsidRPr="009B5D10">
        <w:rPr>
          <w:sz w:val="24"/>
          <w:szCs w:val="24"/>
        </w:rPr>
        <w:t xml:space="preserve">Hankinson, </w:t>
      </w:r>
      <w:r w:rsidR="00F2629F" w:rsidRPr="009B5D10">
        <w:rPr>
          <w:i/>
          <w:sz w:val="24"/>
          <w:szCs w:val="24"/>
        </w:rPr>
        <w:t xml:space="preserve">Cause and Explanation in Ancient Greek Thought </w:t>
      </w:r>
      <w:r w:rsidR="00F2629F" w:rsidRPr="009B5D10">
        <w:rPr>
          <w:sz w:val="24"/>
          <w:szCs w:val="24"/>
        </w:rPr>
        <w:t>(Oxford: Clarendon, 1998)</w:t>
      </w:r>
      <w:r w:rsidRPr="009B5D10">
        <w:rPr>
          <w:sz w:val="24"/>
          <w:szCs w:val="24"/>
        </w:rPr>
        <w:t>, 419.</w:t>
      </w:r>
    </w:p>
  </w:footnote>
  <w:footnote w:id="48">
    <w:p w:rsidR="00F43632" w:rsidRPr="009B5D10" w:rsidRDefault="00F43632" w:rsidP="00F43632">
      <w:pPr>
        <w:pStyle w:val="FootnoteText"/>
        <w:rPr>
          <w:sz w:val="24"/>
          <w:szCs w:val="24"/>
        </w:rPr>
      </w:pPr>
      <w:r w:rsidRPr="009B5D10">
        <w:rPr>
          <w:rStyle w:val="FootnoteReference"/>
          <w:sz w:val="24"/>
          <w:szCs w:val="24"/>
        </w:rPr>
        <w:footnoteRef/>
      </w:r>
      <w:r w:rsidR="009E1C21" w:rsidRPr="009B5D10">
        <w:rPr>
          <w:sz w:val="24"/>
          <w:szCs w:val="24"/>
        </w:rPr>
        <w:t xml:space="preserve"> Arius, </w:t>
      </w:r>
      <w:r w:rsidR="009E1C21" w:rsidRPr="009B5D10">
        <w:rPr>
          <w:i/>
          <w:sz w:val="24"/>
          <w:szCs w:val="24"/>
        </w:rPr>
        <w:t>Letter to Eusebius of Nicomedia</w:t>
      </w:r>
      <w:r w:rsidR="009E1C21" w:rsidRPr="009B5D10">
        <w:rPr>
          <w:sz w:val="24"/>
          <w:szCs w:val="24"/>
        </w:rPr>
        <w:t xml:space="preserve"> 4</w:t>
      </w:r>
      <w:r w:rsidR="008A1882" w:rsidRPr="009B5D10">
        <w:rPr>
          <w:sz w:val="24"/>
          <w:szCs w:val="24"/>
        </w:rPr>
        <w:t xml:space="preserve"> (</w:t>
      </w:r>
      <w:r w:rsidR="00460F30" w:rsidRPr="009B5D10">
        <w:rPr>
          <w:sz w:val="24"/>
          <w:szCs w:val="24"/>
        </w:rPr>
        <w:t>3</w:t>
      </w:r>
      <w:r w:rsidR="008A1882" w:rsidRPr="009B5D10">
        <w:rPr>
          <w:sz w:val="24"/>
          <w:szCs w:val="24"/>
        </w:rPr>
        <w:t xml:space="preserve"> </w:t>
      </w:r>
      <w:proofErr w:type="spellStart"/>
      <w:r w:rsidR="008A1882" w:rsidRPr="009B5D10">
        <w:rPr>
          <w:sz w:val="24"/>
          <w:szCs w:val="24"/>
        </w:rPr>
        <w:t>Opitz</w:t>
      </w:r>
      <w:proofErr w:type="spellEnd"/>
      <w:r w:rsidR="00211313" w:rsidRPr="009B5D10">
        <w:rPr>
          <w:sz w:val="24"/>
          <w:szCs w:val="24"/>
        </w:rPr>
        <w:t>)</w:t>
      </w:r>
      <w:r w:rsidR="009E1C21" w:rsidRPr="009B5D10">
        <w:rPr>
          <w:sz w:val="24"/>
          <w:szCs w:val="24"/>
        </w:rPr>
        <w:t xml:space="preserve">; </w:t>
      </w:r>
      <w:r w:rsidR="009E1C21" w:rsidRPr="009B5D10">
        <w:rPr>
          <w:i/>
          <w:sz w:val="24"/>
          <w:szCs w:val="24"/>
        </w:rPr>
        <w:t>Letter to Alexander of Alexandria</w:t>
      </w:r>
      <w:r w:rsidR="00460F30" w:rsidRPr="009B5D10">
        <w:rPr>
          <w:sz w:val="24"/>
          <w:szCs w:val="24"/>
        </w:rPr>
        <w:t xml:space="preserve"> 2 (13</w:t>
      </w:r>
      <w:r w:rsidR="008A1882" w:rsidRPr="009B5D10">
        <w:rPr>
          <w:sz w:val="24"/>
          <w:szCs w:val="24"/>
        </w:rPr>
        <w:t xml:space="preserve"> </w:t>
      </w:r>
      <w:proofErr w:type="spellStart"/>
      <w:r w:rsidR="008A1882" w:rsidRPr="009B5D10">
        <w:rPr>
          <w:sz w:val="24"/>
          <w:szCs w:val="24"/>
        </w:rPr>
        <w:t>Opitz</w:t>
      </w:r>
      <w:proofErr w:type="spellEnd"/>
      <w:r w:rsidR="008A1882" w:rsidRPr="009B5D10">
        <w:rPr>
          <w:sz w:val="24"/>
          <w:szCs w:val="24"/>
        </w:rPr>
        <w:t>)</w:t>
      </w:r>
      <w:r w:rsidRPr="009B5D10">
        <w:rPr>
          <w:sz w:val="24"/>
          <w:szCs w:val="24"/>
        </w:rPr>
        <w:t xml:space="preserve">. </w:t>
      </w:r>
    </w:p>
  </w:footnote>
  <w:footnote w:id="49">
    <w:p w:rsidR="00B722F8" w:rsidRPr="009B5D10" w:rsidRDefault="00B722F8" w:rsidP="00B722F8">
      <w:pPr>
        <w:pStyle w:val="FootnoteText"/>
        <w:rPr>
          <w:sz w:val="24"/>
          <w:szCs w:val="24"/>
        </w:rPr>
      </w:pPr>
      <w:r w:rsidRPr="009B5D10">
        <w:rPr>
          <w:rStyle w:val="FootnoteReference"/>
          <w:sz w:val="24"/>
          <w:szCs w:val="24"/>
        </w:rPr>
        <w:footnoteRef/>
      </w:r>
      <w:r w:rsidRPr="009B5D10">
        <w:rPr>
          <w:sz w:val="24"/>
          <w:szCs w:val="24"/>
        </w:rPr>
        <w:t xml:space="preserve"> </w:t>
      </w:r>
      <w:proofErr w:type="spellStart"/>
      <w:r w:rsidRPr="009B5D10">
        <w:rPr>
          <w:sz w:val="24"/>
          <w:szCs w:val="24"/>
        </w:rPr>
        <w:t>Eunomius</w:t>
      </w:r>
      <w:proofErr w:type="spellEnd"/>
      <w:r w:rsidRPr="009B5D10">
        <w:rPr>
          <w:sz w:val="24"/>
          <w:szCs w:val="24"/>
        </w:rPr>
        <w:t xml:space="preserve">, </w:t>
      </w:r>
      <w:proofErr w:type="spellStart"/>
      <w:r w:rsidRPr="009B5D10">
        <w:rPr>
          <w:i/>
          <w:sz w:val="24"/>
          <w:szCs w:val="24"/>
        </w:rPr>
        <w:t>Apol</w:t>
      </w:r>
      <w:proofErr w:type="spellEnd"/>
      <w:r w:rsidRPr="009B5D10">
        <w:rPr>
          <w:sz w:val="24"/>
          <w:szCs w:val="24"/>
        </w:rPr>
        <w:t>. 14</w:t>
      </w:r>
      <w:proofErr w:type="gramStart"/>
      <w:r w:rsidRPr="009B5D10">
        <w:rPr>
          <w:sz w:val="24"/>
          <w:szCs w:val="24"/>
        </w:rPr>
        <w:t>.(</w:t>
      </w:r>
      <w:proofErr w:type="gramEnd"/>
      <w:r w:rsidRPr="009B5D10">
        <w:rPr>
          <w:sz w:val="24"/>
          <w:szCs w:val="24"/>
        </w:rPr>
        <w:t>line)16 (50</w:t>
      </w:r>
      <w:r w:rsidR="007D4723" w:rsidRPr="009B5D10">
        <w:rPr>
          <w:sz w:val="24"/>
          <w:szCs w:val="24"/>
        </w:rPr>
        <w:t xml:space="preserve"> </w:t>
      </w:r>
      <w:proofErr w:type="spellStart"/>
      <w:r w:rsidR="007D4723" w:rsidRPr="009B5D10">
        <w:rPr>
          <w:sz w:val="24"/>
          <w:szCs w:val="24"/>
        </w:rPr>
        <w:t>Vaggione</w:t>
      </w:r>
      <w:proofErr w:type="spellEnd"/>
      <w:r w:rsidR="007D4723" w:rsidRPr="009B5D10">
        <w:rPr>
          <w:sz w:val="24"/>
          <w:szCs w:val="24"/>
        </w:rPr>
        <w:t>), 15.9 (</w:t>
      </w:r>
      <w:r w:rsidRPr="009B5D10">
        <w:rPr>
          <w:sz w:val="24"/>
          <w:szCs w:val="24"/>
        </w:rPr>
        <w:t>52</w:t>
      </w:r>
      <w:r w:rsidR="007D4723" w:rsidRPr="009B5D10">
        <w:rPr>
          <w:sz w:val="24"/>
          <w:szCs w:val="24"/>
        </w:rPr>
        <w:t xml:space="preserve"> </w:t>
      </w:r>
      <w:proofErr w:type="spellStart"/>
      <w:r w:rsidR="007D4723" w:rsidRPr="009B5D10">
        <w:rPr>
          <w:sz w:val="24"/>
          <w:szCs w:val="24"/>
        </w:rPr>
        <w:t>Vaggione</w:t>
      </w:r>
      <w:proofErr w:type="spellEnd"/>
      <w:r w:rsidR="007D4723" w:rsidRPr="009B5D10">
        <w:rPr>
          <w:sz w:val="24"/>
          <w:szCs w:val="24"/>
        </w:rPr>
        <w:t>), 23.15–24.4 (</w:t>
      </w:r>
      <w:r w:rsidRPr="009B5D10">
        <w:rPr>
          <w:sz w:val="24"/>
          <w:szCs w:val="24"/>
        </w:rPr>
        <w:t>64</w:t>
      </w:r>
      <w:r w:rsidR="007D4723" w:rsidRPr="009B5D10">
        <w:rPr>
          <w:sz w:val="24"/>
          <w:szCs w:val="24"/>
        </w:rPr>
        <w:t xml:space="preserve"> </w:t>
      </w:r>
      <w:proofErr w:type="spellStart"/>
      <w:r w:rsidR="007D4723" w:rsidRPr="009B5D10">
        <w:rPr>
          <w:sz w:val="24"/>
          <w:szCs w:val="24"/>
        </w:rPr>
        <w:t>Vaggione</w:t>
      </w:r>
      <w:proofErr w:type="spellEnd"/>
      <w:r w:rsidRPr="009B5D10">
        <w:rPr>
          <w:sz w:val="24"/>
          <w:szCs w:val="24"/>
        </w:rPr>
        <w:t xml:space="preserve">), 28.12–14 (a </w:t>
      </w:r>
      <w:proofErr w:type="spellStart"/>
      <w:r w:rsidRPr="009B5D10">
        <w:rPr>
          <w:sz w:val="24"/>
          <w:szCs w:val="24"/>
        </w:rPr>
        <w:t>Eunomian</w:t>
      </w:r>
      <w:proofErr w:type="spellEnd"/>
      <w:r w:rsidRPr="009B5D10">
        <w:rPr>
          <w:sz w:val="24"/>
          <w:szCs w:val="24"/>
        </w:rPr>
        <w:t xml:space="preserve"> confession appended to the </w:t>
      </w:r>
      <w:proofErr w:type="spellStart"/>
      <w:r w:rsidRPr="009B5D10">
        <w:rPr>
          <w:i/>
          <w:sz w:val="24"/>
          <w:szCs w:val="24"/>
        </w:rPr>
        <w:t>Apol</w:t>
      </w:r>
      <w:proofErr w:type="spellEnd"/>
      <w:r w:rsidR="007D4723" w:rsidRPr="009B5D10">
        <w:rPr>
          <w:sz w:val="24"/>
          <w:szCs w:val="24"/>
        </w:rPr>
        <w:t xml:space="preserve">. in manuscripts; </w:t>
      </w:r>
      <w:r w:rsidRPr="009B5D10">
        <w:rPr>
          <w:sz w:val="24"/>
          <w:szCs w:val="24"/>
        </w:rPr>
        <w:t>74</w:t>
      </w:r>
      <w:r w:rsidR="007D4723" w:rsidRPr="009B5D10">
        <w:rPr>
          <w:sz w:val="24"/>
          <w:szCs w:val="24"/>
        </w:rPr>
        <w:t xml:space="preserve"> </w:t>
      </w:r>
      <w:proofErr w:type="spellStart"/>
      <w:r w:rsidR="007D4723" w:rsidRPr="009B5D10">
        <w:rPr>
          <w:sz w:val="24"/>
          <w:szCs w:val="24"/>
        </w:rPr>
        <w:t>Vaggione</w:t>
      </w:r>
      <w:proofErr w:type="spellEnd"/>
      <w:r w:rsidRPr="009B5D10">
        <w:rPr>
          <w:sz w:val="24"/>
          <w:szCs w:val="24"/>
        </w:rPr>
        <w:t xml:space="preserve">). </w:t>
      </w:r>
    </w:p>
  </w:footnote>
  <w:footnote w:id="50">
    <w:p w:rsidR="00F43632" w:rsidRPr="009B5D10" w:rsidRDefault="00F43632" w:rsidP="00F43632">
      <w:pPr>
        <w:pStyle w:val="FootnoteText"/>
        <w:rPr>
          <w:sz w:val="24"/>
          <w:szCs w:val="24"/>
        </w:rPr>
      </w:pPr>
      <w:r w:rsidRPr="009B5D10">
        <w:rPr>
          <w:rStyle w:val="FootnoteReference"/>
          <w:sz w:val="24"/>
          <w:szCs w:val="24"/>
        </w:rPr>
        <w:footnoteRef/>
      </w:r>
      <w:r w:rsidRPr="009B5D10">
        <w:rPr>
          <w:sz w:val="24"/>
          <w:szCs w:val="24"/>
        </w:rPr>
        <w:t xml:space="preserve"> </w:t>
      </w:r>
      <w:proofErr w:type="spellStart"/>
      <w:r w:rsidRPr="009B5D10">
        <w:rPr>
          <w:sz w:val="24"/>
          <w:szCs w:val="24"/>
        </w:rPr>
        <w:t>Eunomius</w:t>
      </w:r>
      <w:proofErr w:type="spellEnd"/>
      <w:r w:rsidRPr="009B5D10">
        <w:rPr>
          <w:sz w:val="24"/>
          <w:szCs w:val="24"/>
        </w:rPr>
        <w:t xml:space="preserve">, </w:t>
      </w:r>
      <w:proofErr w:type="spellStart"/>
      <w:r w:rsidRPr="009B5D10">
        <w:rPr>
          <w:i/>
          <w:sz w:val="24"/>
          <w:szCs w:val="24"/>
        </w:rPr>
        <w:t>Apol</w:t>
      </w:r>
      <w:proofErr w:type="spellEnd"/>
      <w:r w:rsidR="007D4723" w:rsidRPr="009B5D10">
        <w:rPr>
          <w:sz w:val="24"/>
          <w:szCs w:val="24"/>
        </w:rPr>
        <w:t>. 17.12 (</w:t>
      </w:r>
      <w:r w:rsidRPr="009B5D10">
        <w:rPr>
          <w:sz w:val="24"/>
          <w:szCs w:val="24"/>
        </w:rPr>
        <w:t>54</w:t>
      </w:r>
      <w:r w:rsidR="007D4723" w:rsidRPr="009B5D10">
        <w:rPr>
          <w:sz w:val="24"/>
          <w:szCs w:val="24"/>
        </w:rPr>
        <w:t xml:space="preserve"> </w:t>
      </w:r>
      <w:proofErr w:type="spellStart"/>
      <w:r w:rsidR="007D4723" w:rsidRPr="009B5D10">
        <w:rPr>
          <w:sz w:val="24"/>
          <w:szCs w:val="24"/>
        </w:rPr>
        <w:t>Vaggione</w:t>
      </w:r>
      <w:proofErr w:type="spellEnd"/>
      <w:r w:rsidR="007D4723" w:rsidRPr="009B5D10">
        <w:rPr>
          <w:sz w:val="24"/>
          <w:szCs w:val="24"/>
        </w:rPr>
        <w:t>), 20.20–21 (</w:t>
      </w:r>
      <w:r w:rsidRPr="009B5D10">
        <w:rPr>
          <w:sz w:val="24"/>
          <w:szCs w:val="24"/>
        </w:rPr>
        <w:t>60</w:t>
      </w:r>
      <w:r w:rsidR="007D4723" w:rsidRPr="009B5D10">
        <w:rPr>
          <w:sz w:val="24"/>
          <w:szCs w:val="24"/>
        </w:rPr>
        <w:t xml:space="preserve"> </w:t>
      </w:r>
      <w:proofErr w:type="spellStart"/>
      <w:r w:rsidR="007D4723" w:rsidRPr="009B5D10">
        <w:rPr>
          <w:sz w:val="24"/>
          <w:szCs w:val="24"/>
        </w:rPr>
        <w:t>Vaggione</w:t>
      </w:r>
      <w:proofErr w:type="spellEnd"/>
      <w:r w:rsidR="007D4723" w:rsidRPr="009B5D10">
        <w:rPr>
          <w:sz w:val="24"/>
          <w:szCs w:val="24"/>
        </w:rPr>
        <w:t>), 26.22 (</w:t>
      </w:r>
      <w:r w:rsidRPr="009B5D10">
        <w:rPr>
          <w:sz w:val="24"/>
          <w:szCs w:val="24"/>
        </w:rPr>
        <w:t>70</w:t>
      </w:r>
      <w:r w:rsidR="007D4723" w:rsidRPr="009B5D10">
        <w:rPr>
          <w:sz w:val="24"/>
          <w:szCs w:val="24"/>
        </w:rPr>
        <w:t xml:space="preserve"> </w:t>
      </w:r>
      <w:proofErr w:type="spellStart"/>
      <w:r w:rsidR="007D4723" w:rsidRPr="009B5D10">
        <w:rPr>
          <w:sz w:val="24"/>
          <w:szCs w:val="24"/>
        </w:rPr>
        <w:t>Vaggione</w:t>
      </w:r>
      <w:proofErr w:type="spellEnd"/>
      <w:r w:rsidR="007D4723" w:rsidRPr="009B5D10">
        <w:rPr>
          <w:sz w:val="24"/>
          <w:szCs w:val="24"/>
        </w:rPr>
        <w:t>), 27.2 (</w:t>
      </w:r>
      <w:r w:rsidRPr="009B5D10">
        <w:rPr>
          <w:sz w:val="24"/>
          <w:szCs w:val="24"/>
        </w:rPr>
        <w:t>70</w:t>
      </w:r>
      <w:r w:rsidR="007D4723" w:rsidRPr="009B5D10">
        <w:rPr>
          <w:sz w:val="24"/>
          <w:szCs w:val="24"/>
        </w:rPr>
        <w:t xml:space="preserve"> </w:t>
      </w:r>
      <w:proofErr w:type="spellStart"/>
      <w:r w:rsidR="007D4723" w:rsidRPr="009B5D10">
        <w:rPr>
          <w:sz w:val="24"/>
          <w:szCs w:val="24"/>
        </w:rPr>
        <w:t>Vaggione</w:t>
      </w:r>
      <w:proofErr w:type="spellEnd"/>
      <w:r w:rsidRPr="009B5D10">
        <w:rPr>
          <w:sz w:val="24"/>
          <w:szCs w:val="24"/>
        </w:rPr>
        <w:t xml:space="preserve">), </w:t>
      </w:r>
      <w:proofErr w:type="spellStart"/>
      <w:r w:rsidRPr="009B5D10">
        <w:rPr>
          <w:i/>
          <w:sz w:val="24"/>
          <w:szCs w:val="24"/>
        </w:rPr>
        <w:t>Expositio</w:t>
      </w:r>
      <w:proofErr w:type="spellEnd"/>
      <w:r w:rsidRPr="009B5D10">
        <w:rPr>
          <w:i/>
          <w:sz w:val="24"/>
          <w:szCs w:val="24"/>
        </w:rPr>
        <w:t xml:space="preserve"> </w:t>
      </w:r>
      <w:proofErr w:type="spellStart"/>
      <w:r w:rsidRPr="009B5D10">
        <w:rPr>
          <w:i/>
          <w:sz w:val="24"/>
          <w:szCs w:val="24"/>
        </w:rPr>
        <w:t>fidei</w:t>
      </w:r>
      <w:proofErr w:type="spellEnd"/>
      <w:r w:rsidR="007D4723" w:rsidRPr="009B5D10">
        <w:rPr>
          <w:sz w:val="24"/>
          <w:szCs w:val="24"/>
        </w:rPr>
        <w:t xml:space="preserve"> 3.22–25, 35–36 (</w:t>
      </w:r>
      <w:r w:rsidRPr="009B5D10">
        <w:rPr>
          <w:sz w:val="24"/>
          <w:szCs w:val="24"/>
        </w:rPr>
        <w:t>154</w:t>
      </w:r>
      <w:r w:rsidR="007D4723" w:rsidRPr="009B5D10">
        <w:rPr>
          <w:sz w:val="24"/>
          <w:szCs w:val="24"/>
        </w:rPr>
        <w:t xml:space="preserve"> </w:t>
      </w:r>
      <w:proofErr w:type="spellStart"/>
      <w:r w:rsidR="007D4723" w:rsidRPr="009B5D10">
        <w:rPr>
          <w:sz w:val="24"/>
          <w:szCs w:val="24"/>
        </w:rPr>
        <w:t>Vaggione</w:t>
      </w:r>
      <w:proofErr w:type="spellEnd"/>
      <w:r w:rsidRPr="009B5D10">
        <w:rPr>
          <w:sz w:val="24"/>
          <w:szCs w:val="24"/>
        </w:rPr>
        <w:t xml:space="preserve">). </w:t>
      </w:r>
    </w:p>
  </w:footnote>
  <w:footnote w:id="51">
    <w:p w:rsidR="00F43632" w:rsidRPr="009B5D10" w:rsidRDefault="00F43632" w:rsidP="00F43632">
      <w:pPr>
        <w:pStyle w:val="FootnoteText"/>
        <w:rPr>
          <w:sz w:val="24"/>
          <w:szCs w:val="24"/>
        </w:rPr>
      </w:pPr>
      <w:r w:rsidRPr="009B5D10">
        <w:rPr>
          <w:rStyle w:val="FootnoteReference"/>
          <w:sz w:val="24"/>
          <w:szCs w:val="24"/>
        </w:rPr>
        <w:footnoteRef/>
      </w:r>
      <w:r w:rsidRPr="009B5D10">
        <w:rPr>
          <w:sz w:val="24"/>
          <w:szCs w:val="24"/>
        </w:rPr>
        <w:t xml:space="preserve"> See, e.g., Athanasius, </w:t>
      </w:r>
      <w:r w:rsidRPr="009B5D10">
        <w:rPr>
          <w:i/>
          <w:sz w:val="24"/>
          <w:szCs w:val="24"/>
        </w:rPr>
        <w:t xml:space="preserve">Orations </w:t>
      </w:r>
      <w:proofErr w:type="gramStart"/>
      <w:r w:rsidRPr="009B5D10">
        <w:rPr>
          <w:i/>
          <w:sz w:val="24"/>
          <w:szCs w:val="24"/>
        </w:rPr>
        <w:t>Against</w:t>
      </w:r>
      <w:proofErr w:type="gramEnd"/>
      <w:r w:rsidRPr="009B5D10">
        <w:rPr>
          <w:i/>
          <w:sz w:val="24"/>
          <w:szCs w:val="24"/>
        </w:rPr>
        <w:t xml:space="preserve"> the Arians</w:t>
      </w:r>
      <w:r w:rsidR="008A1882" w:rsidRPr="009B5D10">
        <w:rPr>
          <w:sz w:val="24"/>
          <w:szCs w:val="24"/>
        </w:rPr>
        <w:t xml:space="preserve"> 3.59–67</w:t>
      </w:r>
      <w:r w:rsidRPr="009B5D10">
        <w:rPr>
          <w:sz w:val="24"/>
          <w:szCs w:val="24"/>
        </w:rPr>
        <w:t>.</w:t>
      </w:r>
    </w:p>
  </w:footnote>
  <w:footnote w:id="52">
    <w:p w:rsidR="005B2E54" w:rsidRPr="009B5D10" w:rsidRDefault="005B2E54" w:rsidP="009B5D10">
      <w:pPr>
        <w:rPr>
          <w:szCs w:val="24"/>
        </w:rPr>
      </w:pPr>
      <w:r w:rsidRPr="009B5D10">
        <w:rPr>
          <w:rStyle w:val="FootnoteReference"/>
          <w:szCs w:val="24"/>
        </w:rPr>
        <w:footnoteRef/>
      </w:r>
      <w:r w:rsidRPr="009B5D10">
        <w:rPr>
          <w:szCs w:val="24"/>
        </w:rPr>
        <w:t xml:space="preserve"> Gregory of </w:t>
      </w:r>
      <w:proofErr w:type="spellStart"/>
      <w:r w:rsidRPr="009B5D10">
        <w:rPr>
          <w:szCs w:val="24"/>
        </w:rPr>
        <w:t>Nazianzus</w:t>
      </w:r>
      <w:proofErr w:type="spellEnd"/>
      <w:r w:rsidRPr="009B5D10">
        <w:rPr>
          <w:szCs w:val="24"/>
        </w:rPr>
        <w:t xml:space="preserve">, </w:t>
      </w:r>
      <w:r w:rsidRPr="009B5D10">
        <w:rPr>
          <w:i/>
          <w:szCs w:val="24"/>
        </w:rPr>
        <w:t xml:space="preserve">Oration </w:t>
      </w:r>
      <w:r w:rsidRPr="009B5D10">
        <w:rPr>
          <w:szCs w:val="24"/>
        </w:rPr>
        <w:t>29.2</w:t>
      </w:r>
      <w:r w:rsidR="009422D7" w:rsidRPr="009B5D10">
        <w:rPr>
          <w:szCs w:val="24"/>
        </w:rPr>
        <w:t xml:space="preserve">.19–22 (180 </w:t>
      </w:r>
      <w:proofErr w:type="spellStart"/>
      <w:r w:rsidR="009422D7" w:rsidRPr="009B5D10">
        <w:rPr>
          <w:szCs w:val="24"/>
        </w:rPr>
        <w:t>Gallay</w:t>
      </w:r>
      <w:proofErr w:type="spellEnd"/>
      <w:r w:rsidR="00121E63" w:rsidRPr="009B5D10">
        <w:rPr>
          <w:szCs w:val="24"/>
        </w:rPr>
        <w:t>)</w:t>
      </w:r>
      <w:r w:rsidRPr="009B5D10">
        <w:rPr>
          <w:szCs w:val="24"/>
        </w:rPr>
        <w:t>.</w:t>
      </w:r>
    </w:p>
  </w:footnote>
  <w:footnote w:id="53">
    <w:p w:rsidR="00121E63" w:rsidRPr="009B5D10" w:rsidRDefault="00121E63">
      <w:pPr>
        <w:pStyle w:val="FootnoteText"/>
        <w:rPr>
          <w:sz w:val="24"/>
          <w:szCs w:val="24"/>
        </w:rPr>
      </w:pPr>
      <w:r w:rsidRPr="009B5D10">
        <w:rPr>
          <w:rStyle w:val="FootnoteReference"/>
          <w:sz w:val="24"/>
          <w:szCs w:val="24"/>
        </w:rPr>
        <w:footnoteRef/>
      </w:r>
      <w:r w:rsidRPr="009B5D10">
        <w:rPr>
          <w:sz w:val="24"/>
          <w:szCs w:val="24"/>
        </w:rPr>
        <w:t xml:space="preserve"> Ruth </w:t>
      </w:r>
      <w:proofErr w:type="spellStart"/>
      <w:r w:rsidRPr="009B5D10">
        <w:rPr>
          <w:sz w:val="24"/>
          <w:szCs w:val="24"/>
        </w:rPr>
        <w:t>Majercik</w:t>
      </w:r>
      <w:proofErr w:type="spellEnd"/>
      <w:r w:rsidRPr="009B5D10">
        <w:rPr>
          <w:sz w:val="24"/>
          <w:szCs w:val="24"/>
        </w:rPr>
        <w:t xml:space="preserve">. “A Reminiscence of the ‘Chaldean Oracles’ at Gregory of </w:t>
      </w:r>
      <w:proofErr w:type="spellStart"/>
      <w:r w:rsidRPr="009B5D10">
        <w:rPr>
          <w:sz w:val="24"/>
          <w:szCs w:val="24"/>
        </w:rPr>
        <w:t>Nazianzus</w:t>
      </w:r>
      <w:proofErr w:type="spellEnd"/>
      <w:r w:rsidRPr="009B5D10">
        <w:rPr>
          <w:sz w:val="24"/>
          <w:szCs w:val="24"/>
        </w:rPr>
        <w:t xml:space="preserve">, </w:t>
      </w:r>
      <w:proofErr w:type="gramStart"/>
      <w:r w:rsidRPr="009B5D10">
        <w:rPr>
          <w:i/>
          <w:sz w:val="24"/>
          <w:szCs w:val="24"/>
        </w:rPr>
        <w:t>Or</w:t>
      </w:r>
      <w:proofErr w:type="gramEnd"/>
      <w:r w:rsidRPr="009B5D10">
        <w:rPr>
          <w:sz w:val="24"/>
          <w:szCs w:val="24"/>
        </w:rPr>
        <w:t>. 29</w:t>
      </w:r>
      <w:proofErr w:type="gramStart"/>
      <w:r w:rsidRPr="009B5D10">
        <w:rPr>
          <w:sz w:val="24"/>
          <w:szCs w:val="24"/>
        </w:rPr>
        <w:t>,2</w:t>
      </w:r>
      <w:proofErr w:type="gramEnd"/>
      <w:r w:rsidRPr="009B5D10">
        <w:rPr>
          <w:sz w:val="24"/>
          <w:szCs w:val="24"/>
        </w:rPr>
        <w:t xml:space="preserve">: </w:t>
      </w:r>
      <w:r w:rsidRPr="009B5D10">
        <w:rPr>
          <w:sz w:val="24"/>
          <w:szCs w:val="24"/>
          <w:lang w:val="el-GR"/>
        </w:rPr>
        <w:t>ΟΙΟΝ</w:t>
      </w:r>
      <w:r w:rsidRPr="009B5D10">
        <w:rPr>
          <w:sz w:val="24"/>
          <w:szCs w:val="24"/>
        </w:rPr>
        <w:t xml:space="preserve"> </w:t>
      </w:r>
      <w:r w:rsidRPr="009B5D10">
        <w:rPr>
          <w:sz w:val="24"/>
          <w:szCs w:val="24"/>
          <w:lang w:val="el-GR"/>
        </w:rPr>
        <w:t>ΚΡΑΤΗΡ</w:t>
      </w:r>
      <w:r w:rsidRPr="009B5D10">
        <w:rPr>
          <w:sz w:val="24"/>
          <w:szCs w:val="24"/>
        </w:rPr>
        <w:t xml:space="preserve"> </w:t>
      </w:r>
      <w:r w:rsidRPr="009B5D10">
        <w:rPr>
          <w:sz w:val="24"/>
          <w:szCs w:val="24"/>
          <w:lang w:val="el-GR"/>
        </w:rPr>
        <w:t>ΤΙΣ</w:t>
      </w:r>
      <w:r w:rsidRPr="009B5D10">
        <w:rPr>
          <w:sz w:val="24"/>
          <w:szCs w:val="24"/>
        </w:rPr>
        <w:t xml:space="preserve"> </w:t>
      </w:r>
      <w:r w:rsidRPr="009B5D10">
        <w:rPr>
          <w:sz w:val="24"/>
          <w:szCs w:val="24"/>
          <w:lang w:val="el-GR"/>
        </w:rPr>
        <w:t>ΥΠΕΡΕΡΡΥΗ</w:t>
      </w:r>
      <w:r w:rsidRPr="009B5D10">
        <w:rPr>
          <w:sz w:val="24"/>
          <w:szCs w:val="24"/>
        </w:rPr>
        <w:t xml:space="preserve">,” </w:t>
      </w:r>
      <w:r w:rsidRPr="009B5D10">
        <w:rPr>
          <w:i/>
          <w:sz w:val="24"/>
          <w:szCs w:val="24"/>
        </w:rPr>
        <w:t>VC</w:t>
      </w:r>
      <w:r w:rsidRPr="009B5D10">
        <w:rPr>
          <w:sz w:val="24"/>
          <w:szCs w:val="24"/>
        </w:rPr>
        <w:t xml:space="preserve"> 52 (1998), 286–92.</w:t>
      </w:r>
    </w:p>
  </w:footnote>
  <w:footnote w:id="54">
    <w:p w:rsidR="00546423" w:rsidRPr="009B5D10" w:rsidRDefault="00546423">
      <w:pPr>
        <w:pStyle w:val="FootnoteText"/>
        <w:rPr>
          <w:sz w:val="24"/>
          <w:szCs w:val="24"/>
        </w:rPr>
      </w:pPr>
      <w:r w:rsidRPr="009B5D10">
        <w:rPr>
          <w:rStyle w:val="FootnoteReference"/>
          <w:sz w:val="24"/>
          <w:szCs w:val="24"/>
        </w:rPr>
        <w:footnoteRef/>
      </w:r>
      <w:r w:rsidRPr="009B5D10">
        <w:rPr>
          <w:sz w:val="24"/>
          <w:szCs w:val="24"/>
        </w:rPr>
        <w:t xml:space="preserve"> Plotinus, </w:t>
      </w:r>
      <w:r w:rsidRPr="009B5D10">
        <w:rPr>
          <w:i/>
          <w:sz w:val="24"/>
          <w:szCs w:val="24"/>
        </w:rPr>
        <w:t>Ennead</w:t>
      </w:r>
      <w:r w:rsidR="009422D7" w:rsidRPr="009B5D10">
        <w:rPr>
          <w:sz w:val="24"/>
          <w:szCs w:val="24"/>
        </w:rPr>
        <w:t xml:space="preserve"> 6.8.21.</w:t>
      </w:r>
    </w:p>
  </w:footnote>
  <w:footnote w:id="55">
    <w:p w:rsidR="003F50D7" w:rsidRPr="009B5D10" w:rsidRDefault="003F50D7">
      <w:pPr>
        <w:pStyle w:val="FootnoteText"/>
        <w:rPr>
          <w:sz w:val="24"/>
          <w:szCs w:val="24"/>
        </w:rPr>
      </w:pPr>
      <w:r w:rsidRPr="009B5D10">
        <w:rPr>
          <w:rStyle w:val="FootnoteReference"/>
          <w:sz w:val="24"/>
          <w:szCs w:val="24"/>
        </w:rPr>
        <w:footnoteRef/>
      </w:r>
      <w:r w:rsidR="008A1882" w:rsidRPr="009B5D10">
        <w:rPr>
          <w:sz w:val="24"/>
          <w:szCs w:val="24"/>
        </w:rPr>
        <w:t xml:space="preserve"> Williams, </w:t>
      </w:r>
      <w:r w:rsidR="008A1882" w:rsidRPr="009B5D10">
        <w:rPr>
          <w:i/>
          <w:sz w:val="24"/>
          <w:szCs w:val="24"/>
        </w:rPr>
        <w:t>Arius</w:t>
      </w:r>
      <w:r w:rsidR="008A1882" w:rsidRPr="009B5D10">
        <w:rPr>
          <w:sz w:val="24"/>
          <w:szCs w:val="24"/>
        </w:rPr>
        <w:t xml:space="preserve">, 181–232 and the articles by Christopher Stead cited there. </w:t>
      </w:r>
    </w:p>
  </w:footnote>
  <w:footnote w:id="56">
    <w:p w:rsidR="00E96625" w:rsidRPr="009B5D10" w:rsidRDefault="00E96625" w:rsidP="00E96625">
      <w:pPr>
        <w:pStyle w:val="FootnoteText"/>
        <w:rPr>
          <w:sz w:val="24"/>
          <w:szCs w:val="24"/>
        </w:rPr>
      </w:pPr>
      <w:r w:rsidRPr="009B5D10">
        <w:rPr>
          <w:rStyle w:val="FootnoteReference"/>
          <w:sz w:val="24"/>
          <w:szCs w:val="24"/>
        </w:rPr>
        <w:footnoteRef/>
      </w:r>
      <w:r w:rsidRPr="009B5D10">
        <w:rPr>
          <w:sz w:val="24"/>
          <w:szCs w:val="24"/>
        </w:rPr>
        <w:t xml:space="preserve"> Perhaps most influentially, </w:t>
      </w:r>
      <w:proofErr w:type="spellStart"/>
      <w:r w:rsidRPr="009B5D10">
        <w:rPr>
          <w:sz w:val="24"/>
          <w:szCs w:val="24"/>
        </w:rPr>
        <w:t>Wolfhart</w:t>
      </w:r>
      <w:proofErr w:type="spellEnd"/>
      <w:r w:rsidRPr="009B5D10">
        <w:rPr>
          <w:sz w:val="24"/>
          <w:szCs w:val="24"/>
        </w:rPr>
        <w:t xml:space="preserve"> </w:t>
      </w:r>
      <w:proofErr w:type="spellStart"/>
      <w:r w:rsidRPr="009B5D10">
        <w:rPr>
          <w:sz w:val="24"/>
          <w:szCs w:val="24"/>
        </w:rPr>
        <w:t>Pannenberg</w:t>
      </w:r>
      <w:proofErr w:type="spellEnd"/>
      <w:r w:rsidRPr="009B5D10">
        <w:rPr>
          <w:sz w:val="24"/>
          <w:szCs w:val="24"/>
        </w:rPr>
        <w:t>, “The Appropriation of the Philosophical Concept of God.</w:t>
      </w:r>
      <w:r w:rsidR="00C80F99" w:rsidRPr="009B5D10">
        <w:rPr>
          <w:sz w:val="24"/>
          <w:szCs w:val="24"/>
        </w:rPr>
        <w:t>”</w:t>
      </w:r>
    </w:p>
  </w:footnote>
  <w:footnote w:id="57">
    <w:p w:rsidR="00F03AC1" w:rsidRPr="009B5D10" w:rsidRDefault="00F03AC1">
      <w:pPr>
        <w:pStyle w:val="FootnoteText"/>
        <w:rPr>
          <w:sz w:val="24"/>
          <w:szCs w:val="24"/>
        </w:rPr>
      </w:pPr>
      <w:r w:rsidRPr="009B5D10">
        <w:rPr>
          <w:rStyle w:val="FootnoteReference"/>
          <w:sz w:val="24"/>
          <w:szCs w:val="24"/>
        </w:rPr>
        <w:footnoteRef/>
      </w:r>
      <w:r w:rsidRPr="009B5D10">
        <w:rPr>
          <w:sz w:val="24"/>
          <w:szCs w:val="24"/>
        </w:rPr>
        <w:t xml:space="preserve"> For an account that stresses the centrality of the principles discussed here for pro-Nicene thought, see Lewis Ayres, </w:t>
      </w:r>
      <w:r w:rsidRPr="009B5D10">
        <w:rPr>
          <w:i/>
          <w:sz w:val="24"/>
          <w:szCs w:val="24"/>
        </w:rPr>
        <w:t>Nicaea and its Legacy</w:t>
      </w:r>
      <w:r w:rsidR="00300862" w:rsidRPr="009B5D10">
        <w:rPr>
          <w:i/>
          <w:sz w:val="24"/>
          <w:szCs w:val="24"/>
        </w:rPr>
        <w:t xml:space="preserve">: An Approach to Fourth-Century Trinitarian Theology </w:t>
      </w:r>
      <w:r w:rsidR="00300862" w:rsidRPr="009B5D10">
        <w:rPr>
          <w:sz w:val="24"/>
          <w:szCs w:val="24"/>
        </w:rPr>
        <w:t>(Oxford: Oxford University Press, 2004)</w:t>
      </w:r>
      <w:r w:rsidRPr="009B5D10">
        <w:rPr>
          <w:sz w:val="24"/>
          <w:szCs w:val="24"/>
        </w:rPr>
        <w:t>, 281.</w:t>
      </w:r>
    </w:p>
  </w:footnote>
  <w:footnote w:id="58">
    <w:p w:rsidR="00916F26" w:rsidRPr="009B5D10" w:rsidRDefault="00916F26" w:rsidP="00916F26">
      <w:pPr>
        <w:pStyle w:val="FootnoteText"/>
        <w:rPr>
          <w:sz w:val="24"/>
          <w:szCs w:val="24"/>
        </w:rPr>
      </w:pPr>
      <w:r w:rsidRPr="009B5D10">
        <w:rPr>
          <w:rStyle w:val="FootnoteReference"/>
          <w:sz w:val="24"/>
          <w:szCs w:val="24"/>
        </w:rPr>
        <w:footnoteRef/>
      </w:r>
      <w:r w:rsidRPr="009B5D10">
        <w:rPr>
          <w:sz w:val="24"/>
          <w:szCs w:val="24"/>
        </w:rPr>
        <w:t xml:space="preserve"> Augustine, </w:t>
      </w:r>
      <w:r w:rsidRPr="009B5D10">
        <w:rPr>
          <w:i/>
          <w:sz w:val="24"/>
          <w:szCs w:val="24"/>
        </w:rPr>
        <w:t>Conf</w:t>
      </w:r>
      <w:r w:rsidR="005E1FED">
        <w:rPr>
          <w:i/>
          <w:sz w:val="24"/>
          <w:szCs w:val="24"/>
        </w:rPr>
        <w:t>essions</w:t>
      </w:r>
      <w:r w:rsidR="00405086" w:rsidRPr="009B5D10">
        <w:rPr>
          <w:sz w:val="24"/>
          <w:szCs w:val="24"/>
        </w:rPr>
        <w:t xml:space="preserve"> VII.x.16ff.</w:t>
      </w:r>
    </w:p>
  </w:footnote>
  <w:footnote w:id="59">
    <w:p w:rsidR="00916F26" w:rsidRPr="009B5D10" w:rsidRDefault="00916F26" w:rsidP="00916F26">
      <w:pPr>
        <w:pStyle w:val="FootnoteText"/>
        <w:rPr>
          <w:sz w:val="24"/>
          <w:szCs w:val="24"/>
        </w:rPr>
      </w:pPr>
      <w:r w:rsidRPr="009B5D10">
        <w:rPr>
          <w:rStyle w:val="FootnoteReference"/>
          <w:sz w:val="24"/>
          <w:szCs w:val="24"/>
        </w:rPr>
        <w:footnoteRef/>
      </w:r>
      <w:r w:rsidR="00F66A8D" w:rsidRPr="009B5D10">
        <w:rPr>
          <w:sz w:val="24"/>
          <w:szCs w:val="24"/>
        </w:rPr>
        <w:t xml:space="preserve"> Tertullian, </w:t>
      </w:r>
      <w:r w:rsidR="00F66A8D" w:rsidRPr="009B5D10">
        <w:rPr>
          <w:i/>
          <w:sz w:val="24"/>
          <w:szCs w:val="24"/>
        </w:rPr>
        <w:t xml:space="preserve">On the Flesh of Christ </w:t>
      </w:r>
      <w:r w:rsidR="00C80F99" w:rsidRPr="009B5D10">
        <w:rPr>
          <w:sz w:val="24"/>
          <w:szCs w:val="24"/>
        </w:rPr>
        <w:t xml:space="preserve">11.2–4 (258 </w:t>
      </w:r>
      <w:proofErr w:type="spellStart"/>
      <w:r w:rsidR="00C80F99" w:rsidRPr="009B5D10">
        <w:rPr>
          <w:sz w:val="24"/>
          <w:szCs w:val="24"/>
        </w:rPr>
        <w:t>Mahé</w:t>
      </w:r>
      <w:proofErr w:type="spellEnd"/>
      <w:r w:rsidR="00C80F99" w:rsidRPr="009B5D10">
        <w:rPr>
          <w:sz w:val="24"/>
          <w:szCs w:val="24"/>
        </w:rPr>
        <w:t>)</w:t>
      </w:r>
      <w:r w:rsidRPr="009B5D10">
        <w:rPr>
          <w:sz w:val="24"/>
          <w:szCs w:val="24"/>
        </w:rPr>
        <w:t>.</w:t>
      </w:r>
    </w:p>
  </w:footnote>
  <w:footnote w:id="60">
    <w:p w:rsidR="00916F26" w:rsidRPr="009B5D10" w:rsidRDefault="00916F26" w:rsidP="00916F26">
      <w:pPr>
        <w:pStyle w:val="FootnoteText"/>
        <w:rPr>
          <w:sz w:val="24"/>
          <w:szCs w:val="24"/>
        </w:rPr>
      </w:pPr>
      <w:r w:rsidRPr="009B5D10">
        <w:rPr>
          <w:rStyle w:val="FootnoteReference"/>
          <w:sz w:val="24"/>
          <w:szCs w:val="24"/>
        </w:rPr>
        <w:footnoteRef/>
      </w:r>
      <w:r w:rsidRPr="009B5D10">
        <w:rPr>
          <w:sz w:val="24"/>
          <w:szCs w:val="24"/>
        </w:rPr>
        <w:t xml:space="preserve"> E.g., Stephen </w:t>
      </w:r>
      <w:proofErr w:type="spellStart"/>
      <w:r w:rsidRPr="009B5D10">
        <w:rPr>
          <w:sz w:val="24"/>
          <w:szCs w:val="24"/>
        </w:rPr>
        <w:t>Duby</w:t>
      </w:r>
      <w:proofErr w:type="spellEnd"/>
      <w:r w:rsidRPr="009B5D10">
        <w:rPr>
          <w:sz w:val="24"/>
          <w:szCs w:val="24"/>
        </w:rPr>
        <w:t xml:space="preserve">, </w:t>
      </w:r>
      <w:r w:rsidRPr="009B5D10">
        <w:rPr>
          <w:i/>
          <w:sz w:val="24"/>
          <w:szCs w:val="24"/>
        </w:rPr>
        <w:t xml:space="preserve">Divine Simplicity: A Dogmatic </w:t>
      </w:r>
      <w:proofErr w:type="spellStart"/>
      <w:r w:rsidRPr="009B5D10">
        <w:rPr>
          <w:i/>
          <w:sz w:val="24"/>
          <w:szCs w:val="24"/>
        </w:rPr>
        <w:t>Acccount</w:t>
      </w:r>
      <w:proofErr w:type="spellEnd"/>
      <w:r w:rsidRPr="009B5D10">
        <w:rPr>
          <w:sz w:val="24"/>
          <w:szCs w:val="24"/>
        </w:rPr>
        <w:t xml:space="preserve"> (London: Bloomsbury T &amp; T Clark, 2016), 91; Jordan P. Barrett, </w:t>
      </w:r>
      <w:r w:rsidRPr="009B5D10">
        <w:rPr>
          <w:i/>
          <w:sz w:val="24"/>
          <w:szCs w:val="24"/>
        </w:rPr>
        <w:t>Divine Simplicity: A Biblical and Trinitarian Account</w:t>
      </w:r>
      <w:r w:rsidRPr="009B5D10">
        <w:rPr>
          <w:sz w:val="24"/>
          <w:szCs w:val="24"/>
        </w:rPr>
        <w:t xml:space="preserve"> (Minneapolis: Fortress, 2017), 133–68. </w:t>
      </w:r>
    </w:p>
  </w:footnote>
  <w:footnote w:id="61">
    <w:p w:rsidR="00916F26" w:rsidRPr="009B5D10" w:rsidRDefault="00916F26" w:rsidP="00916F26">
      <w:pPr>
        <w:pStyle w:val="FootnoteText"/>
        <w:rPr>
          <w:sz w:val="24"/>
          <w:szCs w:val="24"/>
        </w:rPr>
      </w:pPr>
      <w:r w:rsidRPr="009B5D10">
        <w:rPr>
          <w:rStyle w:val="FootnoteReference"/>
          <w:sz w:val="24"/>
          <w:szCs w:val="24"/>
        </w:rPr>
        <w:footnoteRef/>
      </w:r>
      <w:r w:rsidR="00191DD8" w:rsidRPr="009B5D10">
        <w:rPr>
          <w:sz w:val="24"/>
          <w:szCs w:val="24"/>
        </w:rPr>
        <w:t xml:space="preserve"> </w:t>
      </w:r>
      <w:r w:rsidRPr="009B5D10">
        <w:rPr>
          <w:sz w:val="24"/>
          <w:szCs w:val="24"/>
        </w:rPr>
        <w:t xml:space="preserve">Janet </w:t>
      </w:r>
      <w:r w:rsidR="008B5BDE">
        <w:rPr>
          <w:sz w:val="24"/>
          <w:szCs w:val="24"/>
        </w:rPr>
        <w:t xml:space="preserve">M. </w:t>
      </w:r>
      <w:r w:rsidRPr="009B5D10">
        <w:rPr>
          <w:sz w:val="24"/>
          <w:szCs w:val="24"/>
        </w:rPr>
        <w:t>Soskice, “Athens and Jerusalem, Alexandria and Edessa: Is There a Metaphysics of Scripture</w:t>
      </w:r>
      <w:proofErr w:type="gramStart"/>
      <w:r w:rsidRPr="009B5D10">
        <w:rPr>
          <w:sz w:val="24"/>
          <w:szCs w:val="24"/>
        </w:rPr>
        <w:t>?,</w:t>
      </w:r>
      <w:proofErr w:type="gramEnd"/>
      <w:r w:rsidRPr="009B5D10">
        <w:rPr>
          <w:sz w:val="24"/>
          <w:szCs w:val="24"/>
        </w:rPr>
        <w:t xml:space="preserve">” </w:t>
      </w:r>
      <w:r w:rsidRPr="009B5D10">
        <w:rPr>
          <w:i/>
          <w:sz w:val="24"/>
          <w:szCs w:val="24"/>
        </w:rPr>
        <w:t>International Journal of Systematic Theology</w:t>
      </w:r>
      <w:r w:rsidRPr="009B5D10">
        <w:rPr>
          <w:sz w:val="24"/>
          <w:szCs w:val="24"/>
        </w:rPr>
        <w:t xml:space="preserve"> 8 (2006), 149–62. </w:t>
      </w:r>
      <w:r w:rsidR="00405086" w:rsidRPr="009B5D10">
        <w:rPr>
          <w:sz w:val="24"/>
          <w:szCs w:val="24"/>
        </w:rPr>
        <w:t xml:space="preserve">Similar claims have been made about Thomas Aquinas: E.g. Etienne Gilson, </w:t>
      </w:r>
      <w:r w:rsidR="00405086" w:rsidRPr="009B5D10">
        <w:rPr>
          <w:i/>
          <w:sz w:val="24"/>
          <w:szCs w:val="24"/>
        </w:rPr>
        <w:t>Christian Philosophy: An Introduction</w:t>
      </w:r>
      <w:r w:rsidR="00405086" w:rsidRPr="009B5D10">
        <w:rPr>
          <w:sz w:val="24"/>
          <w:szCs w:val="24"/>
        </w:rPr>
        <w:t>, trans. by Armand Maurer (Toronto: Pontifical Institute of Medieval Studies, 1993 [orig. pub. in French, 1960]), 31.</w:t>
      </w:r>
    </w:p>
  </w:footnote>
  <w:footnote w:id="62">
    <w:p w:rsidR="00916F26" w:rsidRPr="009B5D10" w:rsidRDefault="00916F26" w:rsidP="00916F26">
      <w:pPr>
        <w:pStyle w:val="FootnoteText"/>
        <w:rPr>
          <w:sz w:val="24"/>
          <w:szCs w:val="24"/>
        </w:rPr>
      </w:pPr>
      <w:r w:rsidRPr="009B5D10">
        <w:rPr>
          <w:rStyle w:val="FootnoteReference"/>
          <w:sz w:val="24"/>
          <w:szCs w:val="24"/>
        </w:rPr>
        <w:footnoteRef/>
      </w:r>
      <w:r w:rsidRPr="009B5D10">
        <w:rPr>
          <w:sz w:val="24"/>
          <w:szCs w:val="24"/>
        </w:rPr>
        <w:t xml:space="preserve"> </w:t>
      </w:r>
      <w:r w:rsidRPr="009B5D10">
        <w:rPr>
          <w:i/>
          <w:sz w:val="24"/>
          <w:szCs w:val="24"/>
        </w:rPr>
        <w:t>Nicene and Post-Nicene Fathers, Second Series, Volume 5: Gregory of Nyssa: Dogmatic Treatises, etc.</w:t>
      </w:r>
      <w:r w:rsidRPr="009B5D10">
        <w:rPr>
          <w:sz w:val="24"/>
          <w:szCs w:val="24"/>
        </w:rPr>
        <w:t>, translated, with prolegomena, notes and indices, by William Moore and Henry Austin Wilson, (Peabody, MA: Hendrickson, 1999, reprint [orig. pub. 1893]), 18.</w:t>
      </w:r>
    </w:p>
  </w:footnote>
  <w:footnote w:id="63">
    <w:p w:rsidR="00916F26" w:rsidRPr="009B5D10" w:rsidRDefault="00916F26" w:rsidP="00916F26">
      <w:pPr>
        <w:pStyle w:val="FootnoteText"/>
        <w:rPr>
          <w:sz w:val="24"/>
          <w:szCs w:val="24"/>
        </w:rPr>
      </w:pPr>
      <w:r w:rsidRPr="009B5D10">
        <w:rPr>
          <w:rStyle w:val="FootnoteReference"/>
          <w:sz w:val="24"/>
          <w:szCs w:val="24"/>
        </w:rPr>
        <w:footnoteRef/>
      </w:r>
      <w:r w:rsidRPr="009B5D10">
        <w:rPr>
          <w:sz w:val="24"/>
          <w:szCs w:val="24"/>
        </w:rPr>
        <w:t xml:space="preserve"> </w:t>
      </w:r>
      <w:r w:rsidR="005E1FED">
        <w:rPr>
          <w:i/>
          <w:sz w:val="24"/>
          <w:szCs w:val="24"/>
        </w:rPr>
        <w:t xml:space="preserve">Against </w:t>
      </w:r>
      <w:proofErr w:type="spellStart"/>
      <w:r w:rsidRPr="009B5D10">
        <w:rPr>
          <w:i/>
          <w:sz w:val="24"/>
          <w:szCs w:val="24"/>
        </w:rPr>
        <w:t>Eun</w:t>
      </w:r>
      <w:r w:rsidR="005E1FED">
        <w:rPr>
          <w:i/>
          <w:sz w:val="24"/>
          <w:szCs w:val="24"/>
        </w:rPr>
        <w:t>omius</w:t>
      </w:r>
      <w:proofErr w:type="spellEnd"/>
      <w:r w:rsidR="005E1FED">
        <w:rPr>
          <w:sz w:val="24"/>
          <w:szCs w:val="24"/>
        </w:rPr>
        <w:t xml:space="preserve"> 1.270 (</w:t>
      </w:r>
      <w:r w:rsidRPr="009B5D10">
        <w:rPr>
          <w:sz w:val="24"/>
          <w:szCs w:val="24"/>
        </w:rPr>
        <w:t>105.19</w:t>
      </w:r>
      <w:r w:rsidR="005E1FED">
        <w:rPr>
          <w:sz w:val="24"/>
          <w:szCs w:val="24"/>
        </w:rPr>
        <w:t xml:space="preserve"> Jaeger), 3.6.66 (</w:t>
      </w:r>
      <w:r w:rsidRPr="009B5D10">
        <w:rPr>
          <w:sz w:val="24"/>
          <w:szCs w:val="24"/>
        </w:rPr>
        <w:t>209.19–26</w:t>
      </w:r>
      <w:r w:rsidR="005E1FED">
        <w:rPr>
          <w:sz w:val="24"/>
          <w:szCs w:val="24"/>
        </w:rPr>
        <w:t xml:space="preserve"> Jaeger), cf. 3.3.3 (</w:t>
      </w:r>
      <w:r w:rsidRPr="009B5D10">
        <w:rPr>
          <w:sz w:val="24"/>
          <w:szCs w:val="24"/>
        </w:rPr>
        <w:t>107.5–108.1</w:t>
      </w:r>
      <w:r w:rsidR="005E1FED">
        <w:rPr>
          <w:sz w:val="24"/>
          <w:szCs w:val="24"/>
        </w:rPr>
        <w:t xml:space="preserve"> Jaeger</w:t>
      </w:r>
      <w:r w:rsidRPr="009B5D10">
        <w:rPr>
          <w:sz w:val="24"/>
          <w:szCs w:val="24"/>
        </w:rPr>
        <w:t>).</w:t>
      </w:r>
    </w:p>
  </w:footnote>
  <w:footnote w:id="64">
    <w:p w:rsidR="00916F26" w:rsidRPr="009B5D10" w:rsidRDefault="00916F26" w:rsidP="00916F26">
      <w:pPr>
        <w:pStyle w:val="FootnoteText"/>
        <w:rPr>
          <w:sz w:val="24"/>
          <w:szCs w:val="24"/>
        </w:rPr>
      </w:pPr>
      <w:r w:rsidRPr="009B5D10">
        <w:rPr>
          <w:rStyle w:val="FootnoteReference"/>
          <w:sz w:val="24"/>
          <w:szCs w:val="24"/>
        </w:rPr>
        <w:footnoteRef/>
      </w:r>
      <w:r w:rsidRPr="009B5D10">
        <w:rPr>
          <w:sz w:val="24"/>
          <w:szCs w:val="24"/>
        </w:rPr>
        <w:t xml:space="preserve"> </w:t>
      </w:r>
      <w:r w:rsidR="00F04411">
        <w:rPr>
          <w:sz w:val="24"/>
          <w:szCs w:val="24"/>
        </w:rPr>
        <w:t xml:space="preserve">E.g. David L. </w:t>
      </w:r>
      <w:proofErr w:type="spellStart"/>
      <w:r w:rsidR="00F04411">
        <w:rPr>
          <w:sz w:val="24"/>
          <w:szCs w:val="24"/>
        </w:rPr>
        <w:t>Balá</w:t>
      </w:r>
      <w:r w:rsidRPr="009B5D10">
        <w:rPr>
          <w:sz w:val="24"/>
          <w:szCs w:val="24"/>
        </w:rPr>
        <w:t>s</w:t>
      </w:r>
      <w:proofErr w:type="spellEnd"/>
      <w:r w:rsidR="00F04411">
        <w:rPr>
          <w:sz w:val="24"/>
          <w:szCs w:val="24"/>
        </w:rPr>
        <w:t xml:space="preserve">, </w:t>
      </w:r>
      <w:proofErr w:type="spellStart"/>
      <w:r w:rsidR="00F04411">
        <w:rPr>
          <w:i/>
          <w:sz w:val="24"/>
          <w:szCs w:val="24"/>
        </w:rPr>
        <w:t>Metousia</w:t>
      </w:r>
      <w:proofErr w:type="spellEnd"/>
      <w:r w:rsidR="00F04411">
        <w:rPr>
          <w:i/>
          <w:sz w:val="24"/>
          <w:szCs w:val="24"/>
        </w:rPr>
        <w:t xml:space="preserve"> </w:t>
      </w:r>
      <w:proofErr w:type="spellStart"/>
      <w:r w:rsidR="00F04411">
        <w:rPr>
          <w:i/>
          <w:sz w:val="24"/>
          <w:szCs w:val="24"/>
        </w:rPr>
        <w:t>Theou</w:t>
      </w:r>
      <w:proofErr w:type="spellEnd"/>
      <w:r w:rsidR="00F04411">
        <w:rPr>
          <w:i/>
          <w:sz w:val="24"/>
          <w:szCs w:val="24"/>
        </w:rPr>
        <w:t>: Man’s Participation in God’s Perfections According to Saint Gregory of Nyssa</w:t>
      </w:r>
      <w:r w:rsidR="00F04411">
        <w:rPr>
          <w:sz w:val="24"/>
          <w:szCs w:val="24"/>
        </w:rPr>
        <w:t xml:space="preserve">, </w:t>
      </w:r>
      <w:proofErr w:type="spellStart"/>
      <w:r w:rsidR="00F04411">
        <w:rPr>
          <w:sz w:val="24"/>
          <w:szCs w:val="24"/>
        </w:rPr>
        <w:t>Studia</w:t>
      </w:r>
      <w:proofErr w:type="spellEnd"/>
      <w:r w:rsidR="00F04411">
        <w:rPr>
          <w:sz w:val="24"/>
          <w:szCs w:val="24"/>
        </w:rPr>
        <w:t xml:space="preserve"> </w:t>
      </w:r>
      <w:proofErr w:type="spellStart"/>
      <w:r w:rsidR="00F04411">
        <w:rPr>
          <w:sz w:val="24"/>
          <w:szCs w:val="24"/>
        </w:rPr>
        <w:t>Anselmiana</w:t>
      </w:r>
      <w:proofErr w:type="spellEnd"/>
      <w:r w:rsidR="00F04411">
        <w:rPr>
          <w:sz w:val="24"/>
          <w:szCs w:val="24"/>
        </w:rPr>
        <w:t xml:space="preserve"> 55 (Rome: Herder and Herder, 1966)</w:t>
      </w:r>
      <w:r w:rsidRPr="009B5D10">
        <w:rPr>
          <w:sz w:val="24"/>
          <w:szCs w:val="24"/>
        </w:rPr>
        <w:t xml:space="preserve">, 34–52; For the broader tradition, e.g. Andrew </w:t>
      </w:r>
      <w:proofErr w:type="spellStart"/>
      <w:r w:rsidRPr="009B5D10">
        <w:rPr>
          <w:sz w:val="24"/>
          <w:szCs w:val="24"/>
        </w:rPr>
        <w:t>Louth</w:t>
      </w:r>
      <w:proofErr w:type="spellEnd"/>
      <w:r w:rsidRPr="009B5D10">
        <w:rPr>
          <w:sz w:val="24"/>
          <w:szCs w:val="24"/>
        </w:rPr>
        <w:t xml:space="preserve">, </w:t>
      </w:r>
      <w:r w:rsidR="005E1FED">
        <w:rPr>
          <w:i/>
          <w:sz w:val="24"/>
          <w:szCs w:val="24"/>
        </w:rPr>
        <w:t xml:space="preserve">St. </w:t>
      </w:r>
      <w:r w:rsidRPr="009B5D10">
        <w:rPr>
          <w:i/>
          <w:sz w:val="24"/>
          <w:szCs w:val="24"/>
        </w:rPr>
        <w:t xml:space="preserve">John </w:t>
      </w:r>
      <w:r w:rsidR="005E1FED">
        <w:rPr>
          <w:i/>
          <w:sz w:val="24"/>
          <w:szCs w:val="24"/>
        </w:rPr>
        <w:t>Damascene: Tradition and Originality in Byzantine Theology</w:t>
      </w:r>
      <w:r w:rsidR="005E1FED">
        <w:rPr>
          <w:sz w:val="24"/>
          <w:szCs w:val="24"/>
        </w:rPr>
        <w:t>, Oxford Early Christian Studies (Oxford: O</w:t>
      </w:r>
      <w:r w:rsidR="008B5BDE">
        <w:rPr>
          <w:sz w:val="24"/>
          <w:szCs w:val="24"/>
        </w:rPr>
        <w:t xml:space="preserve">xford </w:t>
      </w:r>
      <w:r w:rsidR="005E1FED">
        <w:rPr>
          <w:sz w:val="24"/>
          <w:szCs w:val="24"/>
        </w:rPr>
        <w:t>U</w:t>
      </w:r>
      <w:r w:rsidR="008B5BDE">
        <w:rPr>
          <w:sz w:val="24"/>
          <w:szCs w:val="24"/>
        </w:rPr>
        <w:t xml:space="preserve">niversity </w:t>
      </w:r>
      <w:r w:rsidR="005E1FED">
        <w:rPr>
          <w:sz w:val="24"/>
          <w:szCs w:val="24"/>
        </w:rPr>
        <w:t>P</w:t>
      </w:r>
      <w:r w:rsidR="008B5BDE">
        <w:rPr>
          <w:sz w:val="24"/>
          <w:szCs w:val="24"/>
        </w:rPr>
        <w:t>ress</w:t>
      </w:r>
      <w:r w:rsidR="005E1FED">
        <w:rPr>
          <w:sz w:val="24"/>
          <w:szCs w:val="24"/>
        </w:rPr>
        <w:t>, 2002)</w:t>
      </w:r>
      <w:r w:rsidRPr="009B5D10">
        <w:rPr>
          <w:sz w:val="24"/>
          <w:szCs w:val="24"/>
        </w:rPr>
        <w:t xml:space="preserve">, 93. </w:t>
      </w:r>
    </w:p>
  </w:footnote>
  <w:footnote w:id="65">
    <w:p w:rsidR="00916F26" w:rsidRPr="009B5D10" w:rsidRDefault="00916F26" w:rsidP="00916F26">
      <w:pPr>
        <w:pStyle w:val="FootnoteText"/>
        <w:rPr>
          <w:sz w:val="24"/>
          <w:szCs w:val="24"/>
        </w:rPr>
      </w:pPr>
      <w:r w:rsidRPr="009B5D10">
        <w:rPr>
          <w:rStyle w:val="FootnoteReference"/>
          <w:sz w:val="24"/>
          <w:szCs w:val="24"/>
        </w:rPr>
        <w:footnoteRef/>
      </w:r>
      <w:r w:rsidRPr="009B5D10">
        <w:rPr>
          <w:sz w:val="24"/>
          <w:szCs w:val="24"/>
        </w:rPr>
        <w:t xml:space="preserve"> </w:t>
      </w:r>
      <w:r w:rsidR="005E1FED">
        <w:rPr>
          <w:i/>
          <w:sz w:val="24"/>
          <w:szCs w:val="24"/>
        </w:rPr>
        <w:t>Homilies on the Song of Songs</w:t>
      </w:r>
      <w:r w:rsidR="005E1FED">
        <w:rPr>
          <w:sz w:val="24"/>
          <w:szCs w:val="24"/>
        </w:rPr>
        <w:t xml:space="preserve"> 3 (</w:t>
      </w:r>
      <w:r w:rsidRPr="009B5D10">
        <w:rPr>
          <w:sz w:val="24"/>
          <w:szCs w:val="24"/>
        </w:rPr>
        <w:t>173.7–8</w:t>
      </w:r>
      <w:r w:rsidR="005E1FED">
        <w:rPr>
          <w:sz w:val="24"/>
          <w:szCs w:val="24"/>
        </w:rPr>
        <w:t xml:space="preserve"> </w:t>
      </w:r>
      <w:proofErr w:type="spellStart"/>
      <w:r w:rsidR="005E1FED">
        <w:rPr>
          <w:sz w:val="24"/>
          <w:szCs w:val="24"/>
        </w:rPr>
        <w:t>Langerbeck</w:t>
      </w:r>
      <w:proofErr w:type="spellEnd"/>
      <w:r w:rsidRPr="009B5D10">
        <w:rPr>
          <w:sz w:val="24"/>
          <w:szCs w:val="24"/>
        </w:rPr>
        <w:t>).</w:t>
      </w:r>
    </w:p>
  </w:footnote>
  <w:footnote w:id="66">
    <w:p w:rsidR="00916F26" w:rsidRPr="009B5D10" w:rsidRDefault="00916F26" w:rsidP="00916F26">
      <w:pPr>
        <w:pStyle w:val="FootnoteText"/>
        <w:rPr>
          <w:sz w:val="24"/>
          <w:szCs w:val="24"/>
        </w:rPr>
      </w:pPr>
      <w:r w:rsidRPr="009B5D10">
        <w:rPr>
          <w:rStyle w:val="FootnoteReference"/>
          <w:sz w:val="24"/>
          <w:szCs w:val="24"/>
        </w:rPr>
        <w:footnoteRef/>
      </w:r>
      <w:r w:rsidRPr="009B5D10">
        <w:rPr>
          <w:sz w:val="24"/>
          <w:szCs w:val="24"/>
        </w:rPr>
        <w:t xml:space="preserve"> </w:t>
      </w:r>
      <w:r w:rsidR="005E1FED">
        <w:rPr>
          <w:i/>
          <w:sz w:val="24"/>
          <w:szCs w:val="24"/>
        </w:rPr>
        <w:t>Homilies on the Song of Songs</w:t>
      </w:r>
      <w:r w:rsidR="005E1FED">
        <w:rPr>
          <w:sz w:val="24"/>
          <w:szCs w:val="24"/>
        </w:rPr>
        <w:t xml:space="preserve"> 3 (</w:t>
      </w:r>
      <w:r w:rsidRPr="009B5D10">
        <w:rPr>
          <w:sz w:val="24"/>
          <w:szCs w:val="24"/>
        </w:rPr>
        <w:t>173.7–174.20</w:t>
      </w:r>
      <w:r w:rsidR="005E1FED">
        <w:rPr>
          <w:sz w:val="24"/>
          <w:szCs w:val="24"/>
        </w:rPr>
        <w:t xml:space="preserve"> </w:t>
      </w:r>
      <w:proofErr w:type="spellStart"/>
      <w:r w:rsidR="005E1FED">
        <w:rPr>
          <w:sz w:val="24"/>
          <w:szCs w:val="24"/>
        </w:rPr>
        <w:t>Langerbeck</w:t>
      </w:r>
      <w:proofErr w:type="spellEnd"/>
      <w:r w:rsidRPr="009B5D10">
        <w:rPr>
          <w:sz w:val="24"/>
          <w:szCs w:val="24"/>
        </w:rPr>
        <w:t>).</w:t>
      </w:r>
    </w:p>
  </w:footnote>
  <w:footnote w:id="67">
    <w:p w:rsidR="000477DA" w:rsidRPr="009B5D10" w:rsidRDefault="000477DA">
      <w:pPr>
        <w:pStyle w:val="FootnoteText"/>
        <w:rPr>
          <w:sz w:val="24"/>
          <w:szCs w:val="24"/>
        </w:rPr>
      </w:pPr>
      <w:r w:rsidRPr="009B5D10">
        <w:rPr>
          <w:rStyle w:val="FootnoteReference"/>
          <w:sz w:val="24"/>
          <w:szCs w:val="24"/>
        </w:rPr>
        <w:footnoteRef/>
      </w:r>
      <w:r w:rsidRPr="009B5D10">
        <w:rPr>
          <w:sz w:val="24"/>
          <w:szCs w:val="24"/>
        </w:rPr>
        <w:t xml:space="preserve"> See John Dillon, </w:t>
      </w:r>
      <w:r w:rsidR="00A934A9" w:rsidRPr="009B5D10">
        <w:rPr>
          <w:sz w:val="24"/>
          <w:szCs w:val="24"/>
        </w:rPr>
        <w:t xml:space="preserve">“Origen’s Doctrine of the Trinity and Some Later Neoplatonic Theories,” in Dominic O’Meara, ed. </w:t>
      </w:r>
      <w:r w:rsidR="00A934A9" w:rsidRPr="009B5D10">
        <w:rPr>
          <w:i/>
          <w:sz w:val="24"/>
          <w:szCs w:val="24"/>
        </w:rPr>
        <w:t>Neoplatonism and Christian Thought</w:t>
      </w:r>
      <w:r w:rsidR="00A934A9" w:rsidRPr="009B5D10">
        <w:rPr>
          <w:sz w:val="24"/>
          <w:szCs w:val="24"/>
        </w:rPr>
        <w:t>, Studies in Neoplatonism: Ancient and Modern 3 (Albany: SUNY Press, 1982), 19–23</w:t>
      </w:r>
      <w:r w:rsidR="004216C9" w:rsidRPr="009B5D10">
        <w:rPr>
          <w:sz w:val="24"/>
          <w:szCs w:val="24"/>
        </w:rPr>
        <w:t xml:space="preserve">; Mark J. Edwards, “Origen’s Platonism: Questions and Caveats,” </w:t>
      </w:r>
      <w:proofErr w:type="spellStart"/>
      <w:r w:rsidR="004216C9" w:rsidRPr="009B5D10">
        <w:rPr>
          <w:i/>
          <w:sz w:val="24"/>
          <w:szCs w:val="24"/>
        </w:rPr>
        <w:t>Zeitschrift</w:t>
      </w:r>
      <w:proofErr w:type="spellEnd"/>
      <w:r w:rsidR="004216C9" w:rsidRPr="009B5D10">
        <w:rPr>
          <w:i/>
          <w:sz w:val="24"/>
          <w:szCs w:val="24"/>
        </w:rPr>
        <w:t xml:space="preserve"> </w:t>
      </w:r>
      <w:proofErr w:type="spellStart"/>
      <w:r w:rsidR="004216C9" w:rsidRPr="009B5D10">
        <w:rPr>
          <w:i/>
          <w:sz w:val="24"/>
          <w:szCs w:val="24"/>
        </w:rPr>
        <w:t>für</w:t>
      </w:r>
      <w:proofErr w:type="spellEnd"/>
      <w:r w:rsidR="004216C9" w:rsidRPr="009B5D10">
        <w:rPr>
          <w:i/>
          <w:sz w:val="24"/>
          <w:szCs w:val="24"/>
        </w:rPr>
        <w:t xml:space="preserve"> </w:t>
      </w:r>
      <w:proofErr w:type="spellStart"/>
      <w:r w:rsidR="004216C9" w:rsidRPr="009B5D10">
        <w:rPr>
          <w:i/>
          <w:sz w:val="24"/>
          <w:szCs w:val="24"/>
        </w:rPr>
        <w:t>Antikes</w:t>
      </w:r>
      <w:proofErr w:type="spellEnd"/>
      <w:r w:rsidR="004216C9" w:rsidRPr="009B5D10">
        <w:rPr>
          <w:i/>
          <w:sz w:val="24"/>
          <w:szCs w:val="24"/>
        </w:rPr>
        <w:t xml:space="preserve"> </w:t>
      </w:r>
      <w:proofErr w:type="spellStart"/>
      <w:r w:rsidR="004216C9" w:rsidRPr="009B5D10">
        <w:rPr>
          <w:i/>
          <w:sz w:val="24"/>
          <w:szCs w:val="24"/>
        </w:rPr>
        <w:t>Christentum</w:t>
      </w:r>
      <w:proofErr w:type="spellEnd"/>
      <w:r w:rsidR="004216C9" w:rsidRPr="009B5D10">
        <w:rPr>
          <w:sz w:val="24"/>
          <w:szCs w:val="24"/>
        </w:rPr>
        <w:t xml:space="preserve"> 12 (2008), 20–38, at 29–30</w:t>
      </w:r>
      <w:r w:rsidR="00A934A9" w:rsidRPr="009B5D10">
        <w:rPr>
          <w:sz w:val="24"/>
          <w:szCs w:val="24"/>
        </w:rPr>
        <w:t>.</w:t>
      </w:r>
    </w:p>
  </w:footnote>
  <w:footnote w:id="68">
    <w:p w:rsidR="00E83804" w:rsidRPr="009B5D10" w:rsidRDefault="00E83804">
      <w:pPr>
        <w:pStyle w:val="FootnoteText"/>
        <w:rPr>
          <w:sz w:val="24"/>
          <w:szCs w:val="24"/>
        </w:rPr>
      </w:pPr>
      <w:r w:rsidRPr="009B5D10">
        <w:rPr>
          <w:rStyle w:val="FootnoteReference"/>
          <w:sz w:val="24"/>
          <w:szCs w:val="24"/>
        </w:rPr>
        <w:footnoteRef/>
      </w:r>
      <w:r w:rsidRPr="009B5D10">
        <w:rPr>
          <w:sz w:val="24"/>
          <w:szCs w:val="24"/>
        </w:rPr>
        <w:t xml:space="preserve"> Origen, </w:t>
      </w:r>
      <w:r w:rsidR="00A934A9" w:rsidRPr="009B5D10">
        <w:rPr>
          <w:i/>
          <w:sz w:val="24"/>
          <w:szCs w:val="24"/>
        </w:rPr>
        <w:t xml:space="preserve">Commentary on </w:t>
      </w:r>
      <w:r w:rsidRPr="009B5D10">
        <w:rPr>
          <w:i/>
          <w:sz w:val="24"/>
          <w:szCs w:val="24"/>
        </w:rPr>
        <w:t>J</w:t>
      </w:r>
      <w:r w:rsidR="00A934A9" w:rsidRPr="009B5D10">
        <w:rPr>
          <w:i/>
          <w:sz w:val="24"/>
          <w:szCs w:val="24"/>
        </w:rPr>
        <w:t>oh</w:t>
      </w:r>
      <w:r w:rsidRPr="009B5D10">
        <w:rPr>
          <w:i/>
          <w:sz w:val="24"/>
          <w:szCs w:val="24"/>
        </w:rPr>
        <w:t>n</w:t>
      </w:r>
      <w:r w:rsidRPr="009B5D10">
        <w:rPr>
          <w:sz w:val="24"/>
          <w:szCs w:val="24"/>
        </w:rPr>
        <w:t xml:space="preserve"> 2.15 (</w:t>
      </w:r>
      <w:r w:rsidR="00C422C3" w:rsidRPr="009B5D10">
        <w:rPr>
          <w:sz w:val="24"/>
          <w:szCs w:val="24"/>
        </w:rPr>
        <w:t xml:space="preserve">54 </w:t>
      </w:r>
      <w:proofErr w:type="spellStart"/>
      <w:r w:rsidR="00C422C3" w:rsidRPr="009B5D10">
        <w:rPr>
          <w:sz w:val="24"/>
          <w:szCs w:val="24"/>
        </w:rPr>
        <w:t>Preuschen</w:t>
      </w:r>
      <w:proofErr w:type="spellEnd"/>
      <w:r w:rsidR="00C422C3" w:rsidRPr="009B5D10">
        <w:rPr>
          <w:sz w:val="24"/>
          <w:szCs w:val="24"/>
        </w:rPr>
        <w:t xml:space="preserve">; </w:t>
      </w:r>
      <w:r w:rsidRPr="009B5D10">
        <w:rPr>
          <w:sz w:val="24"/>
          <w:szCs w:val="24"/>
        </w:rPr>
        <w:t>tr</w:t>
      </w:r>
      <w:r w:rsidR="009713FD" w:rsidRPr="009B5D10">
        <w:rPr>
          <w:sz w:val="24"/>
          <w:szCs w:val="24"/>
        </w:rPr>
        <w:t>ans</w:t>
      </w:r>
      <w:r w:rsidRPr="009B5D10">
        <w:rPr>
          <w:sz w:val="24"/>
          <w:szCs w:val="24"/>
        </w:rPr>
        <w:t>. Heine, 98).</w:t>
      </w:r>
    </w:p>
  </w:footnote>
  <w:footnote w:id="69">
    <w:p w:rsidR="009713FD" w:rsidRPr="009B5D10" w:rsidRDefault="009713FD">
      <w:pPr>
        <w:pStyle w:val="FootnoteText"/>
        <w:rPr>
          <w:sz w:val="24"/>
          <w:szCs w:val="24"/>
        </w:rPr>
      </w:pPr>
      <w:r w:rsidRPr="009B5D10">
        <w:rPr>
          <w:rStyle w:val="FootnoteReference"/>
          <w:sz w:val="24"/>
          <w:szCs w:val="24"/>
        </w:rPr>
        <w:footnoteRef/>
      </w:r>
      <w:r w:rsidR="00A934A9" w:rsidRPr="009B5D10">
        <w:rPr>
          <w:sz w:val="24"/>
          <w:szCs w:val="24"/>
        </w:rPr>
        <w:t xml:space="preserve"> Origen, </w:t>
      </w:r>
      <w:r w:rsidR="00A934A9" w:rsidRPr="009B5D10">
        <w:rPr>
          <w:i/>
          <w:sz w:val="24"/>
          <w:szCs w:val="24"/>
        </w:rPr>
        <w:t>Commentary on John</w:t>
      </w:r>
      <w:r w:rsidRPr="009B5D10">
        <w:rPr>
          <w:sz w:val="24"/>
          <w:szCs w:val="24"/>
        </w:rPr>
        <w:t xml:space="preserve"> 2.17 (</w:t>
      </w:r>
      <w:r w:rsidR="00C422C3" w:rsidRPr="009B5D10">
        <w:rPr>
          <w:sz w:val="24"/>
          <w:szCs w:val="24"/>
        </w:rPr>
        <w:t xml:space="preserve">54–55 </w:t>
      </w:r>
      <w:proofErr w:type="spellStart"/>
      <w:r w:rsidR="00C422C3" w:rsidRPr="009B5D10">
        <w:rPr>
          <w:sz w:val="24"/>
          <w:szCs w:val="24"/>
        </w:rPr>
        <w:t>Preuschen</w:t>
      </w:r>
      <w:proofErr w:type="spellEnd"/>
      <w:r w:rsidR="00C422C3" w:rsidRPr="009B5D10">
        <w:rPr>
          <w:sz w:val="24"/>
          <w:szCs w:val="24"/>
        </w:rPr>
        <w:t xml:space="preserve">; </w:t>
      </w:r>
      <w:r w:rsidRPr="009B5D10">
        <w:rPr>
          <w:sz w:val="24"/>
          <w:szCs w:val="24"/>
        </w:rPr>
        <w:t xml:space="preserve">trans. Heine, 98–99). </w:t>
      </w:r>
    </w:p>
  </w:footnote>
  <w:footnote w:id="70">
    <w:p w:rsidR="009713FD" w:rsidRPr="009B5D10" w:rsidRDefault="009713FD">
      <w:pPr>
        <w:pStyle w:val="FootnoteText"/>
        <w:rPr>
          <w:sz w:val="24"/>
          <w:szCs w:val="24"/>
        </w:rPr>
      </w:pPr>
      <w:r w:rsidRPr="009B5D10">
        <w:rPr>
          <w:rStyle w:val="FootnoteReference"/>
          <w:sz w:val="24"/>
          <w:szCs w:val="24"/>
        </w:rPr>
        <w:footnoteRef/>
      </w:r>
      <w:r w:rsidRPr="009B5D10">
        <w:rPr>
          <w:sz w:val="24"/>
          <w:szCs w:val="24"/>
        </w:rPr>
        <w:t xml:space="preserve"> </w:t>
      </w:r>
      <w:r w:rsidR="00A934A9" w:rsidRPr="009B5D10">
        <w:rPr>
          <w:sz w:val="24"/>
          <w:szCs w:val="24"/>
        </w:rPr>
        <w:t xml:space="preserve">Origen, </w:t>
      </w:r>
      <w:r w:rsidR="00A934A9" w:rsidRPr="009B5D10">
        <w:rPr>
          <w:i/>
          <w:sz w:val="24"/>
          <w:szCs w:val="24"/>
        </w:rPr>
        <w:t>Commentary on John</w:t>
      </w:r>
      <w:r w:rsidR="00A934A9" w:rsidRPr="009B5D10">
        <w:rPr>
          <w:sz w:val="24"/>
          <w:szCs w:val="24"/>
        </w:rPr>
        <w:t xml:space="preserve"> </w:t>
      </w:r>
      <w:r w:rsidRPr="009B5D10">
        <w:rPr>
          <w:sz w:val="24"/>
          <w:szCs w:val="24"/>
        </w:rPr>
        <w:t>2.20 (</w:t>
      </w:r>
      <w:r w:rsidR="00245786">
        <w:rPr>
          <w:sz w:val="24"/>
          <w:szCs w:val="24"/>
        </w:rPr>
        <w:t xml:space="preserve">55 </w:t>
      </w:r>
      <w:proofErr w:type="spellStart"/>
      <w:r w:rsidR="00245786">
        <w:rPr>
          <w:sz w:val="24"/>
          <w:szCs w:val="24"/>
        </w:rPr>
        <w:t>Preuschen</w:t>
      </w:r>
      <w:proofErr w:type="spellEnd"/>
      <w:r w:rsidR="00245786">
        <w:rPr>
          <w:sz w:val="24"/>
          <w:szCs w:val="24"/>
        </w:rPr>
        <w:t xml:space="preserve">; </w:t>
      </w:r>
      <w:r w:rsidRPr="009B5D10">
        <w:rPr>
          <w:sz w:val="24"/>
          <w:szCs w:val="24"/>
        </w:rPr>
        <w:t xml:space="preserve">trans. Heine, 99–100). </w:t>
      </w:r>
    </w:p>
  </w:footnote>
  <w:footnote w:id="71">
    <w:p w:rsidR="00B10E92" w:rsidRPr="009B5D10" w:rsidRDefault="00B10E92" w:rsidP="00B10E92">
      <w:pPr>
        <w:pStyle w:val="FootnoteText"/>
        <w:rPr>
          <w:sz w:val="24"/>
          <w:szCs w:val="24"/>
        </w:rPr>
      </w:pPr>
      <w:r w:rsidRPr="009B5D10">
        <w:rPr>
          <w:rStyle w:val="FootnoteReference"/>
          <w:sz w:val="24"/>
          <w:szCs w:val="24"/>
        </w:rPr>
        <w:footnoteRef/>
      </w:r>
      <w:r w:rsidRPr="009B5D10">
        <w:rPr>
          <w:sz w:val="24"/>
          <w:szCs w:val="24"/>
        </w:rPr>
        <w:t xml:space="preserve"> Athanasius, </w:t>
      </w:r>
      <w:r w:rsidR="00A934A9" w:rsidRPr="009B5D10">
        <w:rPr>
          <w:i/>
          <w:sz w:val="24"/>
          <w:szCs w:val="24"/>
        </w:rPr>
        <w:t xml:space="preserve">On the </w:t>
      </w:r>
      <w:r w:rsidRPr="009B5D10">
        <w:rPr>
          <w:i/>
          <w:sz w:val="24"/>
          <w:szCs w:val="24"/>
        </w:rPr>
        <w:t>Syn</w:t>
      </w:r>
      <w:r w:rsidR="00A934A9" w:rsidRPr="009B5D10">
        <w:rPr>
          <w:i/>
          <w:sz w:val="24"/>
          <w:szCs w:val="24"/>
        </w:rPr>
        <w:t>ods</w:t>
      </w:r>
      <w:r w:rsidR="00C80F99" w:rsidRPr="009B5D10">
        <w:rPr>
          <w:sz w:val="24"/>
          <w:szCs w:val="24"/>
        </w:rPr>
        <w:t xml:space="preserve"> 51 (348 Martin and Morales</w:t>
      </w:r>
      <w:r w:rsidRPr="009B5D10">
        <w:rPr>
          <w:sz w:val="24"/>
          <w:szCs w:val="24"/>
        </w:rPr>
        <w:t xml:space="preserve">; </w:t>
      </w:r>
      <w:proofErr w:type="gramStart"/>
      <w:r w:rsidRPr="009B5D10">
        <w:rPr>
          <w:sz w:val="24"/>
          <w:szCs w:val="24"/>
        </w:rPr>
        <w:t>trans</w:t>
      </w:r>
      <w:proofErr w:type="gramEnd"/>
      <w:r w:rsidR="00C80F99" w:rsidRPr="009B5D10">
        <w:rPr>
          <w:sz w:val="24"/>
          <w:szCs w:val="24"/>
        </w:rPr>
        <w:t xml:space="preserve"> Radde-Gallwitz</w:t>
      </w:r>
      <w:r w:rsidRPr="009B5D10">
        <w:rPr>
          <w:sz w:val="24"/>
          <w:szCs w:val="24"/>
        </w:rPr>
        <w:t xml:space="preserve">, 209–10).  </w:t>
      </w:r>
    </w:p>
  </w:footnote>
  <w:footnote w:id="72">
    <w:p w:rsidR="00B10E92" w:rsidRPr="009B5D10" w:rsidRDefault="00B10E92" w:rsidP="00B10E92">
      <w:pPr>
        <w:pStyle w:val="FootnoteText"/>
        <w:rPr>
          <w:sz w:val="24"/>
          <w:szCs w:val="24"/>
        </w:rPr>
      </w:pPr>
      <w:r w:rsidRPr="009B5D10">
        <w:rPr>
          <w:rStyle w:val="FootnoteReference"/>
          <w:sz w:val="24"/>
          <w:szCs w:val="24"/>
        </w:rPr>
        <w:footnoteRef/>
      </w:r>
      <w:r w:rsidRPr="009B5D10">
        <w:rPr>
          <w:sz w:val="24"/>
          <w:szCs w:val="24"/>
        </w:rPr>
        <w:t xml:space="preserve"> Athanasius, </w:t>
      </w:r>
      <w:r w:rsidRPr="009B5D10">
        <w:rPr>
          <w:i/>
          <w:sz w:val="24"/>
          <w:szCs w:val="24"/>
        </w:rPr>
        <w:t xml:space="preserve">Letters to </w:t>
      </w:r>
      <w:proofErr w:type="spellStart"/>
      <w:r w:rsidRPr="009B5D10">
        <w:rPr>
          <w:i/>
          <w:sz w:val="24"/>
          <w:szCs w:val="24"/>
        </w:rPr>
        <w:t>Serapion</w:t>
      </w:r>
      <w:proofErr w:type="spellEnd"/>
      <w:r w:rsidRPr="009B5D10">
        <w:rPr>
          <w:sz w:val="24"/>
          <w:szCs w:val="24"/>
        </w:rPr>
        <w:t xml:space="preserve"> 1.23.3 (</w:t>
      </w:r>
      <w:r w:rsidR="009B5D10">
        <w:rPr>
          <w:sz w:val="24"/>
          <w:szCs w:val="24"/>
        </w:rPr>
        <w:t xml:space="preserve">PG 26, 584C; </w:t>
      </w:r>
      <w:r w:rsidRPr="009B5D10">
        <w:rPr>
          <w:sz w:val="24"/>
          <w:szCs w:val="24"/>
        </w:rPr>
        <w:t xml:space="preserve">trans. </w:t>
      </w:r>
      <w:proofErr w:type="spellStart"/>
      <w:r w:rsidRPr="009B5D10">
        <w:rPr>
          <w:sz w:val="24"/>
          <w:szCs w:val="24"/>
        </w:rPr>
        <w:t>DelCogliano</w:t>
      </w:r>
      <w:proofErr w:type="spellEnd"/>
      <w:r w:rsidRPr="009B5D10">
        <w:rPr>
          <w:sz w:val="24"/>
          <w:szCs w:val="24"/>
        </w:rPr>
        <w:t>, Radde-Gallwitz, Ayres, 89). Compare 1.24.1–4, 1.27.1–2.</w:t>
      </w:r>
    </w:p>
  </w:footnote>
  <w:footnote w:id="73">
    <w:p w:rsidR="00B10E92" w:rsidRPr="009B5D10" w:rsidRDefault="00B10E92" w:rsidP="00B10E92">
      <w:pPr>
        <w:pStyle w:val="FootnoteText"/>
        <w:rPr>
          <w:sz w:val="24"/>
          <w:szCs w:val="24"/>
        </w:rPr>
      </w:pPr>
      <w:r w:rsidRPr="009B5D10">
        <w:rPr>
          <w:rStyle w:val="FootnoteReference"/>
          <w:sz w:val="24"/>
          <w:szCs w:val="24"/>
        </w:rPr>
        <w:footnoteRef/>
      </w:r>
      <w:r w:rsidRPr="009B5D10">
        <w:rPr>
          <w:sz w:val="24"/>
          <w:szCs w:val="24"/>
        </w:rPr>
        <w:t xml:space="preserve"> </w:t>
      </w:r>
      <w:proofErr w:type="spellStart"/>
      <w:r w:rsidRPr="009B5D10">
        <w:rPr>
          <w:sz w:val="24"/>
          <w:szCs w:val="24"/>
        </w:rPr>
        <w:t>Didymus</w:t>
      </w:r>
      <w:proofErr w:type="spellEnd"/>
      <w:r w:rsidRPr="009B5D10">
        <w:rPr>
          <w:sz w:val="24"/>
          <w:szCs w:val="24"/>
        </w:rPr>
        <w:t xml:space="preserve">, </w:t>
      </w:r>
      <w:r w:rsidRPr="009B5D10">
        <w:rPr>
          <w:i/>
          <w:sz w:val="24"/>
          <w:szCs w:val="24"/>
        </w:rPr>
        <w:t xml:space="preserve">On the Holy Spirit </w:t>
      </w:r>
      <w:r w:rsidRPr="009B5D10">
        <w:rPr>
          <w:sz w:val="24"/>
          <w:szCs w:val="24"/>
        </w:rPr>
        <w:t>16–17, 19 (</w:t>
      </w:r>
      <w:r w:rsidR="00245786">
        <w:rPr>
          <w:sz w:val="24"/>
          <w:szCs w:val="24"/>
        </w:rPr>
        <w:t xml:space="preserve">156–60 </w:t>
      </w:r>
      <w:proofErr w:type="spellStart"/>
      <w:r w:rsidR="00245786">
        <w:rPr>
          <w:sz w:val="24"/>
          <w:szCs w:val="24"/>
        </w:rPr>
        <w:t>Doutreleau</w:t>
      </w:r>
      <w:proofErr w:type="spellEnd"/>
      <w:r w:rsidR="00245786">
        <w:rPr>
          <w:sz w:val="24"/>
          <w:szCs w:val="24"/>
        </w:rPr>
        <w:t xml:space="preserve">; trans. by </w:t>
      </w:r>
      <w:proofErr w:type="spellStart"/>
      <w:r w:rsidR="00245786">
        <w:rPr>
          <w:sz w:val="24"/>
          <w:szCs w:val="24"/>
        </w:rPr>
        <w:t>DelCogliano</w:t>
      </w:r>
      <w:proofErr w:type="spellEnd"/>
      <w:r w:rsidR="00245786">
        <w:rPr>
          <w:sz w:val="24"/>
          <w:szCs w:val="24"/>
        </w:rPr>
        <w:t xml:space="preserve">, Radde-Gallwitz, and Ayres, </w:t>
      </w:r>
      <w:r w:rsidRPr="009B5D10">
        <w:rPr>
          <w:sz w:val="24"/>
          <w:szCs w:val="24"/>
        </w:rPr>
        <w:t>148–49</w:t>
      </w:r>
      <w:r w:rsidR="0068381B" w:rsidRPr="009B5D10">
        <w:rPr>
          <w:sz w:val="24"/>
          <w:szCs w:val="24"/>
        </w:rPr>
        <w:t>, altered for consistency</w:t>
      </w:r>
      <w:r w:rsidR="0091334D" w:rsidRPr="009B5D10">
        <w:rPr>
          <w:sz w:val="24"/>
          <w:szCs w:val="24"/>
        </w:rPr>
        <w:t>)</w:t>
      </w:r>
      <w:r w:rsidRPr="009B5D10">
        <w:rPr>
          <w:sz w:val="24"/>
          <w:szCs w:val="24"/>
        </w:rPr>
        <w:t xml:space="preserve">; cf. Athanasius, </w:t>
      </w:r>
      <w:r w:rsidRPr="009B5D10">
        <w:rPr>
          <w:i/>
          <w:sz w:val="24"/>
          <w:szCs w:val="24"/>
        </w:rPr>
        <w:t>ep</w:t>
      </w:r>
      <w:r w:rsidRPr="009B5D10">
        <w:rPr>
          <w:sz w:val="24"/>
          <w:szCs w:val="24"/>
        </w:rPr>
        <w:t xml:space="preserve">. </w:t>
      </w:r>
      <w:proofErr w:type="spellStart"/>
      <w:r w:rsidRPr="009B5D10">
        <w:rPr>
          <w:i/>
          <w:sz w:val="24"/>
          <w:szCs w:val="24"/>
        </w:rPr>
        <w:t>Serap</w:t>
      </w:r>
      <w:proofErr w:type="spellEnd"/>
      <w:r w:rsidR="0091334D" w:rsidRPr="009B5D10">
        <w:rPr>
          <w:sz w:val="24"/>
          <w:szCs w:val="24"/>
        </w:rPr>
        <w:t>. 1.23.3, 1.27.2</w:t>
      </w:r>
      <w:r w:rsidRPr="009B5D10">
        <w:rPr>
          <w:sz w:val="24"/>
          <w:szCs w:val="24"/>
        </w:rPr>
        <w:t>.</w:t>
      </w:r>
    </w:p>
  </w:footnote>
  <w:footnote w:id="74">
    <w:p w:rsidR="00B10E92" w:rsidRPr="009B5D10" w:rsidRDefault="00B10E92" w:rsidP="00B10E92">
      <w:pPr>
        <w:pStyle w:val="FootnoteText"/>
        <w:rPr>
          <w:sz w:val="24"/>
          <w:szCs w:val="24"/>
        </w:rPr>
      </w:pPr>
      <w:r w:rsidRPr="009B5D10">
        <w:rPr>
          <w:rStyle w:val="FootnoteReference"/>
          <w:sz w:val="24"/>
          <w:szCs w:val="24"/>
        </w:rPr>
        <w:footnoteRef/>
      </w:r>
      <w:r w:rsidRPr="009B5D10">
        <w:rPr>
          <w:sz w:val="24"/>
          <w:szCs w:val="24"/>
        </w:rPr>
        <w:t xml:space="preserve"> Basil, </w:t>
      </w:r>
      <w:r w:rsidRPr="009B5D10">
        <w:rPr>
          <w:i/>
          <w:sz w:val="24"/>
          <w:szCs w:val="24"/>
        </w:rPr>
        <w:t xml:space="preserve">Against </w:t>
      </w:r>
      <w:proofErr w:type="spellStart"/>
      <w:r w:rsidRPr="009B5D10">
        <w:rPr>
          <w:i/>
          <w:sz w:val="24"/>
          <w:szCs w:val="24"/>
        </w:rPr>
        <w:t>Eunomius</w:t>
      </w:r>
      <w:proofErr w:type="spellEnd"/>
      <w:r w:rsidRPr="009B5D10">
        <w:rPr>
          <w:sz w:val="24"/>
          <w:szCs w:val="24"/>
        </w:rPr>
        <w:t xml:space="preserve"> 3.2 (SC 305, 154; trans. </w:t>
      </w:r>
      <w:proofErr w:type="spellStart"/>
      <w:r w:rsidRPr="009B5D10">
        <w:rPr>
          <w:sz w:val="24"/>
          <w:szCs w:val="24"/>
        </w:rPr>
        <w:t>DelCogliano</w:t>
      </w:r>
      <w:proofErr w:type="spellEnd"/>
      <w:r w:rsidRPr="009B5D10">
        <w:rPr>
          <w:sz w:val="24"/>
          <w:szCs w:val="24"/>
        </w:rPr>
        <w:t xml:space="preserve"> and Radde-Gallwitz, 188).</w:t>
      </w:r>
    </w:p>
  </w:footnote>
  <w:footnote w:id="75">
    <w:p w:rsidR="00B10E92" w:rsidRPr="009B5D10" w:rsidRDefault="00B10E92" w:rsidP="00B10E92">
      <w:pPr>
        <w:pStyle w:val="FootnoteText"/>
        <w:rPr>
          <w:sz w:val="24"/>
          <w:szCs w:val="24"/>
        </w:rPr>
      </w:pPr>
      <w:r w:rsidRPr="009B5D10">
        <w:rPr>
          <w:rStyle w:val="FootnoteReference"/>
          <w:sz w:val="24"/>
          <w:szCs w:val="24"/>
        </w:rPr>
        <w:footnoteRef/>
      </w:r>
      <w:r w:rsidRPr="009B5D10">
        <w:rPr>
          <w:sz w:val="24"/>
          <w:szCs w:val="24"/>
        </w:rPr>
        <w:t xml:space="preserve"> Basil, </w:t>
      </w:r>
      <w:r w:rsidRPr="009B5D10">
        <w:rPr>
          <w:i/>
          <w:sz w:val="24"/>
          <w:szCs w:val="24"/>
        </w:rPr>
        <w:t>On the Holy Spirit</w:t>
      </w:r>
      <w:r w:rsidR="00C51565" w:rsidRPr="009B5D10">
        <w:rPr>
          <w:sz w:val="24"/>
          <w:szCs w:val="24"/>
        </w:rPr>
        <w:t xml:space="preserve"> 9.22 (324–26 </w:t>
      </w:r>
      <w:proofErr w:type="spellStart"/>
      <w:r w:rsidR="00C51565" w:rsidRPr="009B5D10">
        <w:rPr>
          <w:sz w:val="24"/>
          <w:szCs w:val="24"/>
        </w:rPr>
        <w:t>Pruche</w:t>
      </w:r>
      <w:proofErr w:type="spellEnd"/>
      <w:r w:rsidRPr="009B5D10">
        <w:rPr>
          <w:sz w:val="24"/>
          <w:szCs w:val="24"/>
        </w:rPr>
        <w:t xml:space="preserve">), cf. 16.48. </w:t>
      </w:r>
    </w:p>
  </w:footnote>
  <w:footnote w:id="76">
    <w:p w:rsidR="00450581" w:rsidRPr="009B5D10" w:rsidRDefault="00450581">
      <w:pPr>
        <w:pStyle w:val="FootnoteText"/>
        <w:rPr>
          <w:sz w:val="24"/>
          <w:szCs w:val="24"/>
        </w:rPr>
      </w:pPr>
      <w:r w:rsidRPr="009B5D10">
        <w:rPr>
          <w:rStyle w:val="FootnoteReference"/>
          <w:sz w:val="24"/>
          <w:szCs w:val="24"/>
        </w:rPr>
        <w:footnoteRef/>
      </w:r>
      <w:r w:rsidR="0007736D" w:rsidRPr="009B5D10">
        <w:rPr>
          <w:sz w:val="24"/>
          <w:szCs w:val="24"/>
        </w:rPr>
        <w:t xml:space="preserve"> See John </w:t>
      </w:r>
      <w:proofErr w:type="spellStart"/>
      <w:r w:rsidR="0007736D" w:rsidRPr="009B5D10">
        <w:rPr>
          <w:sz w:val="24"/>
          <w:szCs w:val="24"/>
        </w:rPr>
        <w:t>Rist</w:t>
      </w:r>
      <w:proofErr w:type="spellEnd"/>
      <w:r w:rsidR="0007736D" w:rsidRPr="009B5D10">
        <w:rPr>
          <w:sz w:val="24"/>
          <w:szCs w:val="24"/>
        </w:rPr>
        <w:t>, “Basil’s ‘Neoplatonism’</w:t>
      </w:r>
      <w:r w:rsidR="00172DAB" w:rsidRPr="009B5D10">
        <w:rPr>
          <w:sz w:val="24"/>
          <w:szCs w:val="24"/>
        </w:rPr>
        <w:t xml:space="preserve">: Its Background and Nature,” in Paul Jonathan </w:t>
      </w:r>
      <w:proofErr w:type="spellStart"/>
      <w:r w:rsidR="00172DAB" w:rsidRPr="009B5D10">
        <w:rPr>
          <w:sz w:val="24"/>
          <w:szCs w:val="24"/>
        </w:rPr>
        <w:t>Fedwick</w:t>
      </w:r>
      <w:proofErr w:type="spellEnd"/>
      <w:r w:rsidR="00172DAB" w:rsidRPr="009B5D10">
        <w:rPr>
          <w:sz w:val="24"/>
          <w:szCs w:val="24"/>
        </w:rPr>
        <w:t>,</w:t>
      </w:r>
      <w:r w:rsidR="00245786">
        <w:rPr>
          <w:sz w:val="24"/>
          <w:szCs w:val="24"/>
        </w:rPr>
        <w:t xml:space="preserve"> ed.</w:t>
      </w:r>
      <w:r w:rsidR="00172DAB" w:rsidRPr="009B5D10">
        <w:rPr>
          <w:sz w:val="24"/>
          <w:szCs w:val="24"/>
        </w:rPr>
        <w:t xml:space="preserve"> </w:t>
      </w:r>
      <w:r w:rsidR="00172DAB" w:rsidRPr="009B5D10">
        <w:rPr>
          <w:i/>
          <w:sz w:val="24"/>
          <w:szCs w:val="24"/>
        </w:rPr>
        <w:t>Basil of Caesarea: Christian, Humanist, Ascetic</w:t>
      </w:r>
      <w:r w:rsidR="00172DAB" w:rsidRPr="009B5D10">
        <w:rPr>
          <w:sz w:val="24"/>
          <w:szCs w:val="24"/>
        </w:rPr>
        <w:t>, 2 volumes (Toronto: PIMS, 1981), vol. 1, 137–220</w:t>
      </w:r>
      <w:r w:rsidR="0007736D" w:rsidRPr="009B5D10">
        <w:rPr>
          <w:sz w:val="24"/>
          <w:szCs w:val="24"/>
        </w:rPr>
        <w:t xml:space="preserve">, </w:t>
      </w:r>
      <w:r w:rsidR="00172DAB" w:rsidRPr="009B5D10">
        <w:rPr>
          <w:sz w:val="24"/>
          <w:szCs w:val="24"/>
        </w:rPr>
        <w:t xml:space="preserve">at </w:t>
      </w:r>
      <w:r w:rsidR="0007736D" w:rsidRPr="009B5D10">
        <w:rPr>
          <w:sz w:val="24"/>
          <w:szCs w:val="24"/>
        </w:rPr>
        <w:t xml:space="preserve">201, </w:t>
      </w:r>
      <w:r w:rsidR="00172DAB" w:rsidRPr="009B5D10">
        <w:rPr>
          <w:sz w:val="24"/>
          <w:szCs w:val="24"/>
        </w:rPr>
        <w:t>208</w:t>
      </w:r>
      <w:r w:rsidR="0007736D" w:rsidRPr="009B5D10">
        <w:rPr>
          <w:sz w:val="24"/>
          <w:szCs w:val="24"/>
        </w:rPr>
        <w:t xml:space="preserve">. For </w:t>
      </w:r>
      <w:proofErr w:type="spellStart"/>
      <w:r w:rsidR="0007736D" w:rsidRPr="009B5D10">
        <w:rPr>
          <w:sz w:val="24"/>
          <w:szCs w:val="24"/>
        </w:rPr>
        <w:t>Rist</w:t>
      </w:r>
      <w:proofErr w:type="spellEnd"/>
      <w:r w:rsidR="0007736D" w:rsidRPr="009B5D10">
        <w:rPr>
          <w:sz w:val="24"/>
          <w:szCs w:val="24"/>
        </w:rPr>
        <w:t xml:space="preserve">, the only firm conclusion is that in </w:t>
      </w:r>
      <w:r w:rsidR="0007736D" w:rsidRPr="009B5D10">
        <w:rPr>
          <w:i/>
          <w:sz w:val="24"/>
          <w:szCs w:val="24"/>
        </w:rPr>
        <w:t>On the Holy Spirit</w:t>
      </w:r>
      <w:r w:rsidR="0007736D" w:rsidRPr="009B5D10">
        <w:rPr>
          <w:sz w:val="24"/>
          <w:szCs w:val="24"/>
        </w:rPr>
        <w:t xml:space="preserve"> 9.23, Basil uses </w:t>
      </w:r>
      <w:proofErr w:type="spellStart"/>
      <w:r w:rsidR="0007736D" w:rsidRPr="009B5D10">
        <w:rPr>
          <w:i/>
          <w:sz w:val="24"/>
          <w:szCs w:val="24"/>
        </w:rPr>
        <w:t>Enn</w:t>
      </w:r>
      <w:proofErr w:type="spellEnd"/>
      <w:r w:rsidR="0007736D" w:rsidRPr="009B5D10">
        <w:rPr>
          <w:sz w:val="24"/>
          <w:szCs w:val="24"/>
        </w:rPr>
        <w:t>. 5.1.10.24–26.</w:t>
      </w:r>
    </w:p>
  </w:footnote>
  <w:footnote w:id="77">
    <w:p w:rsidR="00B91538" w:rsidRPr="009B5D10" w:rsidRDefault="00B91538">
      <w:pPr>
        <w:pStyle w:val="FootnoteText"/>
        <w:rPr>
          <w:sz w:val="24"/>
          <w:szCs w:val="24"/>
        </w:rPr>
      </w:pPr>
      <w:r w:rsidRPr="009B5D10">
        <w:rPr>
          <w:rStyle w:val="FootnoteReference"/>
          <w:sz w:val="24"/>
          <w:szCs w:val="24"/>
        </w:rPr>
        <w:footnoteRef/>
      </w:r>
      <w:r w:rsidRPr="009B5D10">
        <w:rPr>
          <w:sz w:val="24"/>
          <w:szCs w:val="24"/>
        </w:rPr>
        <w:t xml:space="preserve"> Gregory of Nyssa, </w:t>
      </w:r>
      <w:r w:rsidRPr="009B5D10">
        <w:rPr>
          <w:i/>
          <w:sz w:val="24"/>
          <w:szCs w:val="24"/>
        </w:rPr>
        <w:t xml:space="preserve">Against </w:t>
      </w:r>
      <w:proofErr w:type="spellStart"/>
      <w:r w:rsidRPr="009B5D10">
        <w:rPr>
          <w:i/>
          <w:sz w:val="24"/>
          <w:szCs w:val="24"/>
        </w:rPr>
        <w:t>Eunomius</w:t>
      </w:r>
      <w:proofErr w:type="spellEnd"/>
      <w:r w:rsidRPr="009B5D10">
        <w:rPr>
          <w:sz w:val="24"/>
          <w:szCs w:val="24"/>
        </w:rPr>
        <w:t xml:space="preserve"> 1.276 (107.4–10 Jaeger).</w:t>
      </w:r>
    </w:p>
  </w:footnote>
  <w:footnote w:id="78">
    <w:p w:rsidR="00650486" w:rsidRPr="009B5D10" w:rsidRDefault="00650486">
      <w:pPr>
        <w:pStyle w:val="FootnoteText"/>
        <w:rPr>
          <w:sz w:val="24"/>
          <w:szCs w:val="24"/>
        </w:rPr>
      </w:pPr>
      <w:r w:rsidRPr="009B5D10">
        <w:rPr>
          <w:rStyle w:val="FootnoteReference"/>
          <w:sz w:val="24"/>
          <w:szCs w:val="24"/>
        </w:rPr>
        <w:footnoteRef/>
      </w:r>
      <w:r w:rsidRPr="009B5D10">
        <w:rPr>
          <w:sz w:val="24"/>
          <w:szCs w:val="24"/>
        </w:rPr>
        <w:t xml:space="preserve"> Cp. Gregory of Nyssa, </w:t>
      </w:r>
      <w:r w:rsidRPr="009B5D10">
        <w:rPr>
          <w:i/>
          <w:sz w:val="24"/>
          <w:szCs w:val="24"/>
        </w:rPr>
        <w:t xml:space="preserve">On the Holy Spirit </w:t>
      </w:r>
      <w:proofErr w:type="gramStart"/>
      <w:r w:rsidRPr="009B5D10">
        <w:rPr>
          <w:i/>
          <w:sz w:val="24"/>
          <w:szCs w:val="24"/>
        </w:rPr>
        <w:t>Against</w:t>
      </w:r>
      <w:proofErr w:type="gramEnd"/>
      <w:r w:rsidRPr="009B5D10">
        <w:rPr>
          <w:i/>
          <w:sz w:val="24"/>
          <w:szCs w:val="24"/>
        </w:rPr>
        <w:t xml:space="preserve"> the Macedonians</w:t>
      </w:r>
      <w:r w:rsidRPr="009B5D10">
        <w:rPr>
          <w:sz w:val="24"/>
          <w:szCs w:val="24"/>
        </w:rPr>
        <w:t xml:space="preserve"> 3–4 (</w:t>
      </w:r>
      <w:r w:rsidR="006C4615" w:rsidRPr="009B5D10">
        <w:rPr>
          <w:sz w:val="24"/>
          <w:szCs w:val="24"/>
        </w:rPr>
        <w:t>90.19–92.30</w:t>
      </w:r>
      <w:r w:rsidRPr="009B5D10">
        <w:rPr>
          <w:sz w:val="24"/>
          <w:szCs w:val="24"/>
        </w:rPr>
        <w:t xml:space="preserve"> Mueller).</w:t>
      </w:r>
    </w:p>
  </w:footnote>
  <w:footnote w:id="79">
    <w:p w:rsidR="000F26AC" w:rsidRPr="009B5D10" w:rsidRDefault="000F26AC">
      <w:pPr>
        <w:pStyle w:val="FootnoteText"/>
        <w:rPr>
          <w:sz w:val="24"/>
          <w:szCs w:val="24"/>
        </w:rPr>
      </w:pPr>
      <w:r w:rsidRPr="009B5D10">
        <w:rPr>
          <w:rStyle w:val="FootnoteReference"/>
          <w:sz w:val="24"/>
          <w:szCs w:val="24"/>
        </w:rPr>
        <w:footnoteRef/>
      </w:r>
      <w:r w:rsidRPr="009B5D10">
        <w:rPr>
          <w:sz w:val="24"/>
          <w:szCs w:val="24"/>
        </w:rPr>
        <w:t xml:space="preserve"> Pseudo-Dionysius, </w:t>
      </w:r>
      <w:r w:rsidRPr="009B5D10">
        <w:rPr>
          <w:i/>
          <w:sz w:val="24"/>
          <w:szCs w:val="24"/>
        </w:rPr>
        <w:t>DN</w:t>
      </w:r>
      <w:r w:rsidRPr="009B5D10">
        <w:rPr>
          <w:sz w:val="24"/>
          <w:szCs w:val="24"/>
        </w:rPr>
        <w:t xml:space="preserve"> 2.5 (128.17 </w:t>
      </w:r>
      <w:proofErr w:type="spellStart"/>
      <w:r w:rsidRPr="009B5D10">
        <w:rPr>
          <w:sz w:val="24"/>
          <w:szCs w:val="24"/>
        </w:rPr>
        <w:t>Suchla</w:t>
      </w:r>
      <w:proofErr w:type="spellEnd"/>
      <w:r w:rsidRPr="009B5D10">
        <w:rPr>
          <w:sz w:val="24"/>
          <w:szCs w:val="24"/>
        </w:rPr>
        <w:t>)</w:t>
      </w:r>
    </w:p>
  </w:footnote>
  <w:footnote w:id="80">
    <w:p w:rsidR="006B18A1" w:rsidRPr="009B5D10" w:rsidRDefault="006B18A1">
      <w:pPr>
        <w:pStyle w:val="FootnoteText"/>
        <w:rPr>
          <w:sz w:val="24"/>
          <w:szCs w:val="24"/>
        </w:rPr>
      </w:pPr>
      <w:r w:rsidRPr="009B5D10">
        <w:rPr>
          <w:rStyle w:val="FootnoteReference"/>
          <w:sz w:val="24"/>
          <w:szCs w:val="24"/>
        </w:rPr>
        <w:footnoteRef/>
      </w:r>
      <w:r w:rsidRPr="009B5D10">
        <w:rPr>
          <w:sz w:val="24"/>
          <w:szCs w:val="24"/>
        </w:rPr>
        <w:t xml:space="preserve"> Pseudo-Dionysius, </w:t>
      </w:r>
      <w:r w:rsidRPr="009B5D10">
        <w:rPr>
          <w:i/>
          <w:sz w:val="24"/>
          <w:szCs w:val="24"/>
        </w:rPr>
        <w:t>DN</w:t>
      </w:r>
      <w:r w:rsidRPr="009B5D10">
        <w:rPr>
          <w:sz w:val="24"/>
          <w:szCs w:val="24"/>
        </w:rPr>
        <w:t xml:space="preserve"> 2.5 (128.17–129.3 </w:t>
      </w:r>
      <w:proofErr w:type="spellStart"/>
      <w:r w:rsidRPr="009B5D10">
        <w:rPr>
          <w:sz w:val="24"/>
          <w:szCs w:val="24"/>
        </w:rPr>
        <w:t>Suchla</w:t>
      </w:r>
      <w:proofErr w:type="spellEnd"/>
      <w:r w:rsidRPr="009B5D10">
        <w:rPr>
          <w:sz w:val="24"/>
          <w:szCs w:val="24"/>
        </w:rPr>
        <w:t xml:space="preserve">). </w:t>
      </w:r>
      <w:r w:rsidR="00642C8C" w:rsidRPr="009B5D10">
        <w:rPr>
          <w:sz w:val="24"/>
          <w:szCs w:val="24"/>
        </w:rPr>
        <w:t xml:space="preserve">On the translation of </w:t>
      </w:r>
      <w:r w:rsidR="00642C8C" w:rsidRPr="009B5D10">
        <w:rPr>
          <w:sz w:val="24"/>
          <w:szCs w:val="24"/>
          <w:lang w:val="el-GR"/>
        </w:rPr>
        <w:t>ἄσχετος</w:t>
      </w:r>
      <w:r w:rsidR="00E037CD" w:rsidRPr="009B5D10">
        <w:rPr>
          <w:sz w:val="24"/>
          <w:szCs w:val="24"/>
        </w:rPr>
        <w:t>, see Andrew Radde-Gallwitz, “Pseudo-</w:t>
      </w:r>
      <w:proofErr w:type="spellStart"/>
      <w:r w:rsidR="00E037CD" w:rsidRPr="009B5D10">
        <w:rPr>
          <w:sz w:val="24"/>
          <w:szCs w:val="24"/>
        </w:rPr>
        <w:t>Dionsius</w:t>
      </w:r>
      <w:proofErr w:type="spellEnd"/>
      <w:r w:rsidR="00E037CD" w:rsidRPr="009B5D10">
        <w:rPr>
          <w:sz w:val="24"/>
          <w:szCs w:val="24"/>
        </w:rPr>
        <w:t xml:space="preserve">, the </w:t>
      </w:r>
      <w:r w:rsidR="00E037CD" w:rsidRPr="009B5D10">
        <w:rPr>
          <w:i/>
          <w:sz w:val="24"/>
          <w:szCs w:val="24"/>
        </w:rPr>
        <w:t>Parmenid</w:t>
      </w:r>
      <w:r w:rsidR="00C80F99" w:rsidRPr="009B5D10">
        <w:rPr>
          <w:i/>
          <w:sz w:val="24"/>
          <w:szCs w:val="24"/>
        </w:rPr>
        <w:t>e</w:t>
      </w:r>
      <w:r w:rsidR="00E037CD" w:rsidRPr="009B5D10">
        <w:rPr>
          <w:i/>
          <w:sz w:val="24"/>
          <w:szCs w:val="24"/>
        </w:rPr>
        <w:t>s</w:t>
      </w:r>
      <w:r w:rsidR="00E037CD" w:rsidRPr="009B5D10">
        <w:rPr>
          <w:sz w:val="24"/>
          <w:szCs w:val="24"/>
        </w:rPr>
        <w:t xml:space="preserve">, and the Problem of Contradiction,” in Turner and Corrigan, </w:t>
      </w:r>
      <w:r w:rsidR="00E037CD" w:rsidRPr="009B5D10">
        <w:rPr>
          <w:i/>
          <w:sz w:val="24"/>
          <w:szCs w:val="24"/>
        </w:rPr>
        <w:t xml:space="preserve">Plato’s </w:t>
      </w:r>
      <w:r w:rsidR="00E037CD" w:rsidRPr="009B5D10">
        <w:rPr>
          <w:i/>
          <w:sz w:val="24"/>
          <w:szCs w:val="24"/>
          <w:u w:val="single"/>
        </w:rPr>
        <w:t>Parmenides</w:t>
      </w:r>
      <w:r w:rsidR="00245786">
        <w:rPr>
          <w:i/>
          <w:sz w:val="24"/>
          <w:szCs w:val="24"/>
        </w:rPr>
        <w:t>, Volume 2</w:t>
      </w:r>
      <w:r w:rsidR="00245786">
        <w:rPr>
          <w:sz w:val="24"/>
          <w:szCs w:val="24"/>
        </w:rPr>
        <w:t>,</w:t>
      </w:r>
      <w:r w:rsidR="00E037CD" w:rsidRPr="009B5D10">
        <w:rPr>
          <w:sz w:val="24"/>
          <w:szCs w:val="24"/>
        </w:rPr>
        <w:t xml:space="preserve"> 243–54 at 248–49</w:t>
      </w:r>
      <w:r w:rsidR="00642C8C" w:rsidRPr="009B5D10">
        <w:rPr>
          <w:sz w:val="24"/>
          <w:szCs w:val="24"/>
        </w:rPr>
        <w:t xml:space="preserve">. </w:t>
      </w:r>
    </w:p>
  </w:footnote>
  <w:footnote w:id="81">
    <w:p w:rsidR="00444325" w:rsidRPr="009B5D10" w:rsidRDefault="00444325" w:rsidP="00444325">
      <w:pPr>
        <w:pStyle w:val="FootnoteText"/>
        <w:rPr>
          <w:sz w:val="24"/>
          <w:szCs w:val="24"/>
        </w:rPr>
      </w:pPr>
      <w:r w:rsidRPr="009B5D10">
        <w:rPr>
          <w:rStyle w:val="FootnoteReference"/>
          <w:sz w:val="24"/>
          <w:szCs w:val="24"/>
        </w:rPr>
        <w:footnoteRef/>
      </w:r>
      <w:r w:rsidRPr="009B5D10">
        <w:rPr>
          <w:sz w:val="24"/>
          <w:szCs w:val="24"/>
        </w:rPr>
        <w:t xml:space="preserve"> Pseudo-Dionysius, </w:t>
      </w:r>
      <w:r w:rsidRPr="009B5D10">
        <w:rPr>
          <w:i/>
          <w:sz w:val="24"/>
          <w:szCs w:val="24"/>
        </w:rPr>
        <w:t xml:space="preserve">DN </w:t>
      </w:r>
      <w:r w:rsidRPr="009B5D10">
        <w:rPr>
          <w:sz w:val="24"/>
          <w:szCs w:val="24"/>
        </w:rPr>
        <w:t xml:space="preserve">2.4 (129.9–11 </w:t>
      </w:r>
      <w:proofErr w:type="spellStart"/>
      <w:r w:rsidRPr="009B5D10">
        <w:rPr>
          <w:sz w:val="24"/>
          <w:szCs w:val="24"/>
        </w:rPr>
        <w:t>Suchla</w:t>
      </w:r>
      <w:proofErr w:type="spellEnd"/>
      <w:r w:rsidRPr="009B5D10">
        <w:rPr>
          <w:sz w:val="24"/>
          <w:szCs w:val="24"/>
        </w:rPr>
        <w:t xml:space="preserve">). </w:t>
      </w:r>
    </w:p>
  </w:footnote>
  <w:footnote w:id="82">
    <w:p w:rsidR="00A16CA1" w:rsidRPr="009B5D10" w:rsidRDefault="00A16CA1">
      <w:pPr>
        <w:pStyle w:val="FootnoteText"/>
        <w:rPr>
          <w:sz w:val="24"/>
          <w:szCs w:val="24"/>
        </w:rPr>
      </w:pPr>
      <w:r w:rsidRPr="009B5D10">
        <w:rPr>
          <w:rStyle w:val="FootnoteReference"/>
          <w:sz w:val="24"/>
          <w:szCs w:val="24"/>
        </w:rPr>
        <w:footnoteRef/>
      </w:r>
      <w:r w:rsidRPr="009B5D10">
        <w:rPr>
          <w:sz w:val="24"/>
          <w:szCs w:val="24"/>
        </w:rPr>
        <w:t xml:space="preserve"> Proclus, </w:t>
      </w:r>
      <w:r w:rsidRPr="009B5D10">
        <w:rPr>
          <w:i/>
          <w:sz w:val="24"/>
          <w:szCs w:val="24"/>
        </w:rPr>
        <w:t>Elements of Theology</w:t>
      </w:r>
      <w:r w:rsidRPr="009B5D10">
        <w:rPr>
          <w:sz w:val="24"/>
          <w:szCs w:val="24"/>
        </w:rPr>
        <w:t xml:space="preserve"> 23</w:t>
      </w:r>
      <w:r w:rsidR="006C4615" w:rsidRPr="009B5D10">
        <w:rPr>
          <w:sz w:val="24"/>
          <w:szCs w:val="24"/>
        </w:rPr>
        <w:t xml:space="preserve">–24 (26–29 </w:t>
      </w:r>
      <w:proofErr w:type="spellStart"/>
      <w:r w:rsidR="006C4615" w:rsidRPr="009B5D10">
        <w:rPr>
          <w:sz w:val="24"/>
          <w:szCs w:val="24"/>
        </w:rPr>
        <w:t>Dodds</w:t>
      </w:r>
      <w:proofErr w:type="spellEnd"/>
      <w:r w:rsidR="006C4615" w:rsidRPr="009B5D10">
        <w:rPr>
          <w:sz w:val="24"/>
          <w:szCs w:val="24"/>
        </w:rPr>
        <w:t>)</w:t>
      </w:r>
      <w:r w:rsidRPr="009B5D10">
        <w:rPr>
          <w:sz w:val="24"/>
          <w:szCs w:val="24"/>
        </w:rPr>
        <w:t xml:space="preserve">. </w:t>
      </w:r>
    </w:p>
  </w:footnote>
  <w:footnote w:id="83">
    <w:p w:rsidR="00A16CA1" w:rsidRPr="009B5D10" w:rsidRDefault="00A16CA1">
      <w:pPr>
        <w:pStyle w:val="FootnoteText"/>
        <w:rPr>
          <w:sz w:val="24"/>
          <w:szCs w:val="24"/>
        </w:rPr>
      </w:pPr>
      <w:r w:rsidRPr="009B5D10">
        <w:rPr>
          <w:rStyle w:val="FootnoteReference"/>
          <w:sz w:val="24"/>
          <w:szCs w:val="24"/>
        </w:rPr>
        <w:footnoteRef/>
      </w:r>
      <w:r w:rsidRPr="009B5D10">
        <w:rPr>
          <w:sz w:val="24"/>
          <w:szCs w:val="24"/>
        </w:rPr>
        <w:t xml:space="preserve"> Pseudo-Dionysius, </w:t>
      </w:r>
      <w:r w:rsidRPr="009B5D10">
        <w:rPr>
          <w:i/>
          <w:sz w:val="24"/>
          <w:szCs w:val="24"/>
        </w:rPr>
        <w:t xml:space="preserve">DN </w:t>
      </w:r>
      <w:r w:rsidR="000518B3" w:rsidRPr="009B5D10">
        <w:rPr>
          <w:sz w:val="24"/>
          <w:szCs w:val="24"/>
        </w:rPr>
        <w:t>2.8 (132.17–133.133.4)</w:t>
      </w:r>
      <w:r w:rsidRPr="009B5D10">
        <w:rPr>
          <w:sz w:val="24"/>
          <w:szCs w:val="24"/>
        </w:rPr>
        <w:t>.</w:t>
      </w:r>
    </w:p>
  </w:footnote>
  <w:footnote w:id="84">
    <w:p w:rsidR="00C07392" w:rsidRPr="009B5D10" w:rsidRDefault="00C07392" w:rsidP="00C07392">
      <w:pPr>
        <w:pStyle w:val="FootnoteText"/>
        <w:rPr>
          <w:sz w:val="24"/>
          <w:szCs w:val="24"/>
        </w:rPr>
      </w:pPr>
      <w:r w:rsidRPr="009B5D10">
        <w:rPr>
          <w:rStyle w:val="FootnoteReference"/>
          <w:sz w:val="24"/>
          <w:szCs w:val="24"/>
        </w:rPr>
        <w:footnoteRef/>
      </w:r>
      <w:r w:rsidRPr="009B5D10">
        <w:rPr>
          <w:sz w:val="24"/>
          <w:szCs w:val="24"/>
        </w:rPr>
        <w:t xml:space="preserve"> </w:t>
      </w:r>
      <w:r w:rsidR="00642445" w:rsidRPr="009B5D10">
        <w:rPr>
          <w:sz w:val="24"/>
          <w:szCs w:val="24"/>
        </w:rPr>
        <w:t xml:space="preserve">On </w:t>
      </w:r>
      <w:r w:rsidRPr="009B5D10">
        <w:rPr>
          <w:sz w:val="24"/>
          <w:szCs w:val="24"/>
        </w:rPr>
        <w:t xml:space="preserve">what appears to be an attempt at a compromise by </w:t>
      </w:r>
      <w:proofErr w:type="spellStart"/>
      <w:r w:rsidRPr="009B5D10">
        <w:rPr>
          <w:sz w:val="24"/>
          <w:szCs w:val="24"/>
        </w:rPr>
        <w:t>Olympiodorus</w:t>
      </w:r>
      <w:proofErr w:type="spellEnd"/>
      <w:r w:rsidR="00642445" w:rsidRPr="009B5D10">
        <w:rPr>
          <w:sz w:val="24"/>
          <w:szCs w:val="24"/>
        </w:rPr>
        <w:t xml:space="preserve">, see Jan </w:t>
      </w:r>
      <w:proofErr w:type="spellStart"/>
      <w:r w:rsidR="00642445" w:rsidRPr="009B5D10">
        <w:rPr>
          <w:sz w:val="24"/>
          <w:szCs w:val="24"/>
        </w:rPr>
        <w:t>Opsomer</w:t>
      </w:r>
      <w:proofErr w:type="spellEnd"/>
      <w:r w:rsidR="00642445" w:rsidRPr="009B5D10">
        <w:rPr>
          <w:sz w:val="24"/>
          <w:szCs w:val="24"/>
        </w:rPr>
        <w:t>, “</w:t>
      </w:r>
      <w:proofErr w:type="spellStart"/>
      <w:r w:rsidR="00642445" w:rsidRPr="009B5D10">
        <w:rPr>
          <w:sz w:val="24"/>
          <w:szCs w:val="24"/>
        </w:rPr>
        <w:t>Olympiodorus</w:t>
      </w:r>
      <w:proofErr w:type="spellEnd"/>
      <w:r w:rsidR="00642445" w:rsidRPr="009B5D10">
        <w:rPr>
          <w:sz w:val="24"/>
          <w:szCs w:val="24"/>
        </w:rPr>
        <w:t xml:space="preserve">,” in Lloyd P. Gerson, </w:t>
      </w:r>
      <w:proofErr w:type="gramStart"/>
      <w:r w:rsidR="00642445" w:rsidRPr="009B5D10">
        <w:rPr>
          <w:sz w:val="24"/>
          <w:szCs w:val="24"/>
        </w:rPr>
        <w:t>ed</w:t>
      </w:r>
      <w:proofErr w:type="gramEnd"/>
      <w:r w:rsidR="00642445" w:rsidRPr="009B5D10">
        <w:rPr>
          <w:sz w:val="24"/>
          <w:szCs w:val="24"/>
        </w:rPr>
        <w:t xml:space="preserve">. </w:t>
      </w:r>
      <w:r w:rsidR="00642445" w:rsidRPr="009B5D10">
        <w:rPr>
          <w:i/>
          <w:sz w:val="24"/>
          <w:szCs w:val="24"/>
        </w:rPr>
        <w:t>The Cambridge History of Philosophy in Late Antiquity, Volume II</w:t>
      </w:r>
      <w:r w:rsidR="00642445" w:rsidRPr="009B5D10">
        <w:rPr>
          <w:sz w:val="24"/>
          <w:szCs w:val="24"/>
        </w:rPr>
        <w:t xml:space="preserve"> (Cambridge: CUP, 2010), 697–710 at 702–4.</w:t>
      </w:r>
      <w:r w:rsidRPr="009B5D10">
        <w:rPr>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1C" w:rsidRDefault="0069391C">
    <w:pPr>
      <w:pStyle w:val="Header"/>
    </w:pPr>
    <w:r>
      <w:tab/>
    </w:r>
    <w:r>
      <w:tab/>
      <w:t>DRAFT 12/24/19</w:t>
    </w:r>
  </w:p>
  <w:p w:rsidR="0069391C" w:rsidRDefault="006939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16"/>
    <w:rsid w:val="0000114F"/>
    <w:rsid w:val="000014EF"/>
    <w:rsid w:val="00001DAE"/>
    <w:rsid w:val="000021D9"/>
    <w:rsid w:val="00002B31"/>
    <w:rsid w:val="00003486"/>
    <w:rsid w:val="00003FBD"/>
    <w:rsid w:val="00006748"/>
    <w:rsid w:val="00006CC5"/>
    <w:rsid w:val="0001009A"/>
    <w:rsid w:val="0001088D"/>
    <w:rsid w:val="00011087"/>
    <w:rsid w:val="0001142E"/>
    <w:rsid w:val="0001143C"/>
    <w:rsid w:val="00012156"/>
    <w:rsid w:val="0001297A"/>
    <w:rsid w:val="00012FA3"/>
    <w:rsid w:val="000137E0"/>
    <w:rsid w:val="00013B92"/>
    <w:rsid w:val="00014E39"/>
    <w:rsid w:val="00016667"/>
    <w:rsid w:val="00020137"/>
    <w:rsid w:val="000204C5"/>
    <w:rsid w:val="00022AB5"/>
    <w:rsid w:val="00022EF9"/>
    <w:rsid w:val="00024DC0"/>
    <w:rsid w:val="00025915"/>
    <w:rsid w:val="00026B99"/>
    <w:rsid w:val="00027032"/>
    <w:rsid w:val="0002742E"/>
    <w:rsid w:val="0002781E"/>
    <w:rsid w:val="000310AA"/>
    <w:rsid w:val="000316F9"/>
    <w:rsid w:val="00031945"/>
    <w:rsid w:val="00031DDB"/>
    <w:rsid w:val="00032495"/>
    <w:rsid w:val="00032D0B"/>
    <w:rsid w:val="00032E97"/>
    <w:rsid w:val="0003515F"/>
    <w:rsid w:val="00036AD8"/>
    <w:rsid w:val="000409A4"/>
    <w:rsid w:val="00041C3D"/>
    <w:rsid w:val="0004256D"/>
    <w:rsid w:val="000427A7"/>
    <w:rsid w:val="00042831"/>
    <w:rsid w:val="00044066"/>
    <w:rsid w:val="000443A5"/>
    <w:rsid w:val="00045E69"/>
    <w:rsid w:val="00046936"/>
    <w:rsid w:val="00046FFB"/>
    <w:rsid w:val="000477DA"/>
    <w:rsid w:val="000500F6"/>
    <w:rsid w:val="00050B81"/>
    <w:rsid w:val="000518B3"/>
    <w:rsid w:val="00052261"/>
    <w:rsid w:val="00052AF8"/>
    <w:rsid w:val="00053655"/>
    <w:rsid w:val="00053F53"/>
    <w:rsid w:val="00056985"/>
    <w:rsid w:val="00056AC6"/>
    <w:rsid w:val="0006208D"/>
    <w:rsid w:val="000633D3"/>
    <w:rsid w:val="00064C03"/>
    <w:rsid w:val="0006508C"/>
    <w:rsid w:val="000654CC"/>
    <w:rsid w:val="00066B7C"/>
    <w:rsid w:val="00066F98"/>
    <w:rsid w:val="00067CBB"/>
    <w:rsid w:val="00070713"/>
    <w:rsid w:val="00072980"/>
    <w:rsid w:val="000732D6"/>
    <w:rsid w:val="000733CC"/>
    <w:rsid w:val="0007383B"/>
    <w:rsid w:val="000738F5"/>
    <w:rsid w:val="00074123"/>
    <w:rsid w:val="0007491F"/>
    <w:rsid w:val="00075365"/>
    <w:rsid w:val="00075B82"/>
    <w:rsid w:val="00075F90"/>
    <w:rsid w:val="0007736D"/>
    <w:rsid w:val="00080D21"/>
    <w:rsid w:val="00084DF0"/>
    <w:rsid w:val="00085D59"/>
    <w:rsid w:val="000860CD"/>
    <w:rsid w:val="0008686D"/>
    <w:rsid w:val="00090EF9"/>
    <w:rsid w:val="00092995"/>
    <w:rsid w:val="00093DCA"/>
    <w:rsid w:val="0009595E"/>
    <w:rsid w:val="00095BBD"/>
    <w:rsid w:val="00095DE8"/>
    <w:rsid w:val="00095F99"/>
    <w:rsid w:val="0009601D"/>
    <w:rsid w:val="000967E7"/>
    <w:rsid w:val="000A1383"/>
    <w:rsid w:val="000A2444"/>
    <w:rsid w:val="000A2CC3"/>
    <w:rsid w:val="000A36BD"/>
    <w:rsid w:val="000A5539"/>
    <w:rsid w:val="000A5C29"/>
    <w:rsid w:val="000A775B"/>
    <w:rsid w:val="000A77F1"/>
    <w:rsid w:val="000B0030"/>
    <w:rsid w:val="000B0E13"/>
    <w:rsid w:val="000B15A5"/>
    <w:rsid w:val="000B1E3A"/>
    <w:rsid w:val="000B2E3B"/>
    <w:rsid w:val="000B3011"/>
    <w:rsid w:val="000B3400"/>
    <w:rsid w:val="000B6583"/>
    <w:rsid w:val="000B7BF5"/>
    <w:rsid w:val="000B7C94"/>
    <w:rsid w:val="000C0D16"/>
    <w:rsid w:val="000C3E68"/>
    <w:rsid w:val="000C46F2"/>
    <w:rsid w:val="000C7313"/>
    <w:rsid w:val="000C7F68"/>
    <w:rsid w:val="000D0557"/>
    <w:rsid w:val="000D0607"/>
    <w:rsid w:val="000D14DA"/>
    <w:rsid w:val="000D1A5E"/>
    <w:rsid w:val="000D7025"/>
    <w:rsid w:val="000E0B05"/>
    <w:rsid w:val="000E63FC"/>
    <w:rsid w:val="000E6A57"/>
    <w:rsid w:val="000E7186"/>
    <w:rsid w:val="000E797E"/>
    <w:rsid w:val="000E7A0D"/>
    <w:rsid w:val="000F15E1"/>
    <w:rsid w:val="000F1A51"/>
    <w:rsid w:val="000F26AC"/>
    <w:rsid w:val="000F2B7D"/>
    <w:rsid w:val="000F2D6F"/>
    <w:rsid w:val="000F4EBF"/>
    <w:rsid w:val="000F504D"/>
    <w:rsid w:val="000F6E2C"/>
    <w:rsid w:val="00101996"/>
    <w:rsid w:val="00102676"/>
    <w:rsid w:val="00103AF3"/>
    <w:rsid w:val="0010416D"/>
    <w:rsid w:val="00104F6B"/>
    <w:rsid w:val="0010716B"/>
    <w:rsid w:val="001102EE"/>
    <w:rsid w:val="00110837"/>
    <w:rsid w:val="00110ADC"/>
    <w:rsid w:val="0011147F"/>
    <w:rsid w:val="001128A9"/>
    <w:rsid w:val="00112B2C"/>
    <w:rsid w:val="00113D2B"/>
    <w:rsid w:val="00113D83"/>
    <w:rsid w:val="0011400B"/>
    <w:rsid w:val="00114695"/>
    <w:rsid w:val="00114E1E"/>
    <w:rsid w:val="00115442"/>
    <w:rsid w:val="00116F40"/>
    <w:rsid w:val="00117275"/>
    <w:rsid w:val="00117511"/>
    <w:rsid w:val="00121E63"/>
    <w:rsid w:val="00125316"/>
    <w:rsid w:val="00126381"/>
    <w:rsid w:val="001276D4"/>
    <w:rsid w:val="001306B7"/>
    <w:rsid w:val="00131882"/>
    <w:rsid w:val="00131E17"/>
    <w:rsid w:val="001343D0"/>
    <w:rsid w:val="00135033"/>
    <w:rsid w:val="00135F93"/>
    <w:rsid w:val="00141766"/>
    <w:rsid w:val="001451E1"/>
    <w:rsid w:val="0015091E"/>
    <w:rsid w:val="001511C4"/>
    <w:rsid w:val="001511F3"/>
    <w:rsid w:val="00151291"/>
    <w:rsid w:val="00151E82"/>
    <w:rsid w:val="00153CFB"/>
    <w:rsid w:val="001543B6"/>
    <w:rsid w:val="00154DB2"/>
    <w:rsid w:val="001551F9"/>
    <w:rsid w:val="0015641B"/>
    <w:rsid w:val="00157A2E"/>
    <w:rsid w:val="00160703"/>
    <w:rsid w:val="00160F39"/>
    <w:rsid w:val="00161478"/>
    <w:rsid w:val="00161523"/>
    <w:rsid w:val="001619D3"/>
    <w:rsid w:val="001624CA"/>
    <w:rsid w:val="0016363D"/>
    <w:rsid w:val="00163AB4"/>
    <w:rsid w:val="00165FD7"/>
    <w:rsid w:val="001666B2"/>
    <w:rsid w:val="00170BF5"/>
    <w:rsid w:val="001719BF"/>
    <w:rsid w:val="00171E14"/>
    <w:rsid w:val="00171E83"/>
    <w:rsid w:val="001722AA"/>
    <w:rsid w:val="00172DAB"/>
    <w:rsid w:val="0017331C"/>
    <w:rsid w:val="001740A3"/>
    <w:rsid w:val="00174E66"/>
    <w:rsid w:val="00174E8D"/>
    <w:rsid w:val="00175544"/>
    <w:rsid w:val="001756B8"/>
    <w:rsid w:val="001768F3"/>
    <w:rsid w:val="00176A2C"/>
    <w:rsid w:val="00176D82"/>
    <w:rsid w:val="00177ED2"/>
    <w:rsid w:val="00182414"/>
    <w:rsid w:val="0018357E"/>
    <w:rsid w:val="00185DED"/>
    <w:rsid w:val="00185FBE"/>
    <w:rsid w:val="00190D55"/>
    <w:rsid w:val="00191DD8"/>
    <w:rsid w:val="0019518E"/>
    <w:rsid w:val="00195497"/>
    <w:rsid w:val="001A1245"/>
    <w:rsid w:val="001A2368"/>
    <w:rsid w:val="001A27E5"/>
    <w:rsid w:val="001A2946"/>
    <w:rsid w:val="001A320F"/>
    <w:rsid w:val="001A4153"/>
    <w:rsid w:val="001A43CB"/>
    <w:rsid w:val="001A4E40"/>
    <w:rsid w:val="001A58E2"/>
    <w:rsid w:val="001A5BB9"/>
    <w:rsid w:val="001A68A0"/>
    <w:rsid w:val="001B08FC"/>
    <w:rsid w:val="001B097F"/>
    <w:rsid w:val="001B14EB"/>
    <w:rsid w:val="001B3459"/>
    <w:rsid w:val="001B4210"/>
    <w:rsid w:val="001B4426"/>
    <w:rsid w:val="001B60E5"/>
    <w:rsid w:val="001B6A95"/>
    <w:rsid w:val="001B7CC1"/>
    <w:rsid w:val="001C1B92"/>
    <w:rsid w:val="001C2172"/>
    <w:rsid w:val="001C358A"/>
    <w:rsid w:val="001C5CB9"/>
    <w:rsid w:val="001C6E84"/>
    <w:rsid w:val="001D044F"/>
    <w:rsid w:val="001D0461"/>
    <w:rsid w:val="001D0C03"/>
    <w:rsid w:val="001D124B"/>
    <w:rsid w:val="001D2655"/>
    <w:rsid w:val="001D326B"/>
    <w:rsid w:val="001D3653"/>
    <w:rsid w:val="001D5482"/>
    <w:rsid w:val="001D689F"/>
    <w:rsid w:val="001D7F1A"/>
    <w:rsid w:val="001E1287"/>
    <w:rsid w:val="001E2053"/>
    <w:rsid w:val="001E3113"/>
    <w:rsid w:val="001E45D4"/>
    <w:rsid w:val="001E55A6"/>
    <w:rsid w:val="001E66C0"/>
    <w:rsid w:val="001E73FD"/>
    <w:rsid w:val="001E7821"/>
    <w:rsid w:val="001E7D5B"/>
    <w:rsid w:val="001F0E58"/>
    <w:rsid w:val="001F110B"/>
    <w:rsid w:val="001F2D62"/>
    <w:rsid w:val="001F36C3"/>
    <w:rsid w:val="001F658E"/>
    <w:rsid w:val="001F6C32"/>
    <w:rsid w:val="001F77F0"/>
    <w:rsid w:val="002016CE"/>
    <w:rsid w:val="00202736"/>
    <w:rsid w:val="00205DC1"/>
    <w:rsid w:val="00206142"/>
    <w:rsid w:val="00207E5F"/>
    <w:rsid w:val="002111CF"/>
    <w:rsid w:val="00211313"/>
    <w:rsid w:val="002129DD"/>
    <w:rsid w:val="00212DF6"/>
    <w:rsid w:val="00214CD2"/>
    <w:rsid w:val="00215150"/>
    <w:rsid w:val="00224BC9"/>
    <w:rsid w:val="00225E21"/>
    <w:rsid w:val="00227937"/>
    <w:rsid w:val="0023056D"/>
    <w:rsid w:val="0023072D"/>
    <w:rsid w:val="00230E91"/>
    <w:rsid w:val="00231ACF"/>
    <w:rsid w:val="00232070"/>
    <w:rsid w:val="0023260E"/>
    <w:rsid w:val="00232B9C"/>
    <w:rsid w:val="00233C39"/>
    <w:rsid w:val="00234A0B"/>
    <w:rsid w:val="00235C62"/>
    <w:rsid w:val="00237CC6"/>
    <w:rsid w:val="002409D5"/>
    <w:rsid w:val="0024271A"/>
    <w:rsid w:val="002440F6"/>
    <w:rsid w:val="002442E6"/>
    <w:rsid w:val="0024512D"/>
    <w:rsid w:val="00245786"/>
    <w:rsid w:val="00246107"/>
    <w:rsid w:val="0024725E"/>
    <w:rsid w:val="002502D9"/>
    <w:rsid w:val="0025101B"/>
    <w:rsid w:val="002512F9"/>
    <w:rsid w:val="00251A4C"/>
    <w:rsid w:val="00251D4B"/>
    <w:rsid w:val="00251DD4"/>
    <w:rsid w:val="0025230E"/>
    <w:rsid w:val="00252621"/>
    <w:rsid w:val="00252C89"/>
    <w:rsid w:val="002550D5"/>
    <w:rsid w:val="0025527D"/>
    <w:rsid w:val="0025679F"/>
    <w:rsid w:val="0026107C"/>
    <w:rsid w:val="00262950"/>
    <w:rsid w:val="002636A7"/>
    <w:rsid w:val="00264FA3"/>
    <w:rsid w:val="00266246"/>
    <w:rsid w:val="00266360"/>
    <w:rsid w:val="00267D5C"/>
    <w:rsid w:val="00270043"/>
    <w:rsid w:val="00270188"/>
    <w:rsid w:val="0027026B"/>
    <w:rsid w:val="00270AA8"/>
    <w:rsid w:val="00270D6C"/>
    <w:rsid w:val="00270FFC"/>
    <w:rsid w:val="002720DA"/>
    <w:rsid w:val="00272CBF"/>
    <w:rsid w:val="00273032"/>
    <w:rsid w:val="00273293"/>
    <w:rsid w:val="00273C18"/>
    <w:rsid w:val="00273FD5"/>
    <w:rsid w:val="00274663"/>
    <w:rsid w:val="002771A5"/>
    <w:rsid w:val="002771ED"/>
    <w:rsid w:val="002774E4"/>
    <w:rsid w:val="00280080"/>
    <w:rsid w:val="00280B43"/>
    <w:rsid w:val="00281558"/>
    <w:rsid w:val="00282479"/>
    <w:rsid w:val="0028250F"/>
    <w:rsid w:val="00282E34"/>
    <w:rsid w:val="00283496"/>
    <w:rsid w:val="0028355C"/>
    <w:rsid w:val="002839B3"/>
    <w:rsid w:val="00283F93"/>
    <w:rsid w:val="002849DA"/>
    <w:rsid w:val="00285050"/>
    <w:rsid w:val="002860D3"/>
    <w:rsid w:val="00286A13"/>
    <w:rsid w:val="00291338"/>
    <w:rsid w:val="00291803"/>
    <w:rsid w:val="00291A03"/>
    <w:rsid w:val="00293322"/>
    <w:rsid w:val="00294F47"/>
    <w:rsid w:val="00295E9E"/>
    <w:rsid w:val="00296227"/>
    <w:rsid w:val="00296523"/>
    <w:rsid w:val="00296E9E"/>
    <w:rsid w:val="002974F3"/>
    <w:rsid w:val="00297BD1"/>
    <w:rsid w:val="002A0491"/>
    <w:rsid w:val="002A3069"/>
    <w:rsid w:val="002A35BB"/>
    <w:rsid w:val="002A5092"/>
    <w:rsid w:val="002A5715"/>
    <w:rsid w:val="002A654E"/>
    <w:rsid w:val="002A7740"/>
    <w:rsid w:val="002B0690"/>
    <w:rsid w:val="002B0888"/>
    <w:rsid w:val="002B0D21"/>
    <w:rsid w:val="002B17A0"/>
    <w:rsid w:val="002B2B74"/>
    <w:rsid w:val="002B5F53"/>
    <w:rsid w:val="002B77A0"/>
    <w:rsid w:val="002B7AA6"/>
    <w:rsid w:val="002C0B46"/>
    <w:rsid w:val="002C1B56"/>
    <w:rsid w:val="002C2ACE"/>
    <w:rsid w:val="002C3594"/>
    <w:rsid w:val="002C787C"/>
    <w:rsid w:val="002C7DA3"/>
    <w:rsid w:val="002C7EA3"/>
    <w:rsid w:val="002D0107"/>
    <w:rsid w:val="002D1A9C"/>
    <w:rsid w:val="002D252A"/>
    <w:rsid w:val="002D2CB3"/>
    <w:rsid w:val="002D582F"/>
    <w:rsid w:val="002D6187"/>
    <w:rsid w:val="002D7BA2"/>
    <w:rsid w:val="002D7F1F"/>
    <w:rsid w:val="002E0175"/>
    <w:rsid w:val="002E04F9"/>
    <w:rsid w:val="002E1278"/>
    <w:rsid w:val="002F042B"/>
    <w:rsid w:val="002F0909"/>
    <w:rsid w:val="002F2497"/>
    <w:rsid w:val="002F4E92"/>
    <w:rsid w:val="002F67AA"/>
    <w:rsid w:val="002F6FA8"/>
    <w:rsid w:val="002F70C9"/>
    <w:rsid w:val="002F7AC3"/>
    <w:rsid w:val="002F7D6E"/>
    <w:rsid w:val="00300862"/>
    <w:rsid w:val="0030124E"/>
    <w:rsid w:val="00301374"/>
    <w:rsid w:val="00301545"/>
    <w:rsid w:val="00303ED2"/>
    <w:rsid w:val="00304754"/>
    <w:rsid w:val="0030554E"/>
    <w:rsid w:val="00306DA7"/>
    <w:rsid w:val="00307868"/>
    <w:rsid w:val="00310EEF"/>
    <w:rsid w:val="0031118F"/>
    <w:rsid w:val="00311561"/>
    <w:rsid w:val="003116DB"/>
    <w:rsid w:val="0031405B"/>
    <w:rsid w:val="00314423"/>
    <w:rsid w:val="00314930"/>
    <w:rsid w:val="00314A8A"/>
    <w:rsid w:val="003163D2"/>
    <w:rsid w:val="003166BD"/>
    <w:rsid w:val="00316EFC"/>
    <w:rsid w:val="0032033D"/>
    <w:rsid w:val="003215AA"/>
    <w:rsid w:val="0032167F"/>
    <w:rsid w:val="00321987"/>
    <w:rsid w:val="00325B49"/>
    <w:rsid w:val="003264A1"/>
    <w:rsid w:val="00327B53"/>
    <w:rsid w:val="00330E80"/>
    <w:rsid w:val="00334F60"/>
    <w:rsid w:val="00335555"/>
    <w:rsid w:val="00347AB6"/>
    <w:rsid w:val="0035040D"/>
    <w:rsid w:val="003507E0"/>
    <w:rsid w:val="003514AA"/>
    <w:rsid w:val="003533A3"/>
    <w:rsid w:val="003539AB"/>
    <w:rsid w:val="00353AC5"/>
    <w:rsid w:val="00355228"/>
    <w:rsid w:val="00355BC9"/>
    <w:rsid w:val="00355E44"/>
    <w:rsid w:val="0035736A"/>
    <w:rsid w:val="00360286"/>
    <w:rsid w:val="00362185"/>
    <w:rsid w:val="00362949"/>
    <w:rsid w:val="00362AE8"/>
    <w:rsid w:val="00363D25"/>
    <w:rsid w:val="003655FF"/>
    <w:rsid w:val="003661BD"/>
    <w:rsid w:val="00366B1E"/>
    <w:rsid w:val="003710FD"/>
    <w:rsid w:val="00371570"/>
    <w:rsid w:val="00371EDD"/>
    <w:rsid w:val="003720CE"/>
    <w:rsid w:val="00372F73"/>
    <w:rsid w:val="003764A7"/>
    <w:rsid w:val="00376563"/>
    <w:rsid w:val="00376D64"/>
    <w:rsid w:val="00377C9F"/>
    <w:rsid w:val="00377E78"/>
    <w:rsid w:val="00380B9B"/>
    <w:rsid w:val="00382BA4"/>
    <w:rsid w:val="00384B52"/>
    <w:rsid w:val="00385319"/>
    <w:rsid w:val="00385A83"/>
    <w:rsid w:val="00386449"/>
    <w:rsid w:val="00386B04"/>
    <w:rsid w:val="00386CCF"/>
    <w:rsid w:val="00387178"/>
    <w:rsid w:val="00390BF1"/>
    <w:rsid w:val="003923ED"/>
    <w:rsid w:val="00393AB9"/>
    <w:rsid w:val="00393E20"/>
    <w:rsid w:val="00393E33"/>
    <w:rsid w:val="00394381"/>
    <w:rsid w:val="003947C8"/>
    <w:rsid w:val="00395880"/>
    <w:rsid w:val="0039620F"/>
    <w:rsid w:val="003A092A"/>
    <w:rsid w:val="003A0A68"/>
    <w:rsid w:val="003A1593"/>
    <w:rsid w:val="003A22EA"/>
    <w:rsid w:val="003A26C0"/>
    <w:rsid w:val="003A31E2"/>
    <w:rsid w:val="003A37D6"/>
    <w:rsid w:val="003A3C5A"/>
    <w:rsid w:val="003A452C"/>
    <w:rsid w:val="003A5365"/>
    <w:rsid w:val="003A53C3"/>
    <w:rsid w:val="003A6C3F"/>
    <w:rsid w:val="003A76BB"/>
    <w:rsid w:val="003B2745"/>
    <w:rsid w:val="003B2CD0"/>
    <w:rsid w:val="003B35AE"/>
    <w:rsid w:val="003B3D44"/>
    <w:rsid w:val="003B5013"/>
    <w:rsid w:val="003C2499"/>
    <w:rsid w:val="003C33C4"/>
    <w:rsid w:val="003C3503"/>
    <w:rsid w:val="003C358D"/>
    <w:rsid w:val="003C3AEC"/>
    <w:rsid w:val="003C4BA3"/>
    <w:rsid w:val="003C552B"/>
    <w:rsid w:val="003C61A7"/>
    <w:rsid w:val="003D122B"/>
    <w:rsid w:val="003D1AB6"/>
    <w:rsid w:val="003D224C"/>
    <w:rsid w:val="003D3535"/>
    <w:rsid w:val="003D4890"/>
    <w:rsid w:val="003D63FC"/>
    <w:rsid w:val="003E40EA"/>
    <w:rsid w:val="003E4876"/>
    <w:rsid w:val="003E5C73"/>
    <w:rsid w:val="003E6355"/>
    <w:rsid w:val="003E725B"/>
    <w:rsid w:val="003E7CD6"/>
    <w:rsid w:val="003F0203"/>
    <w:rsid w:val="003F1439"/>
    <w:rsid w:val="003F1BA7"/>
    <w:rsid w:val="003F38A2"/>
    <w:rsid w:val="003F46B2"/>
    <w:rsid w:val="003F50D7"/>
    <w:rsid w:val="003F66C9"/>
    <w:rsid w:val="003F6950"/>
    <w:rsid w:val="00400A9A"/>
    <w:rsid w:val="00400FE2"/>
    <w:rsid w:val="00401AF1"/>
    <w:rsid w:val="00401AFE"/>
    <w:rsid w:val="00401B32"/>
    <w:rsid w:val="00402B82"/>
    <w:rsid w:val="00404257"/>
    <w:rsid w:val="00405086"/>
    <w:rsid w:val="00406144"/>
    <w:rsid w:val="00406420"/>
    <w:rsid w:val="0040644A"/>
    <w:rsid w:val="0040666F"/>
    <w:rsid w:val="00406C3C"/>
    <w:rsid w:val="00411320"/>
    <w:rsid w:val="00411BAF"/>
    <w:rsid w:val="004122A7"/>
    <w:rsid w:val="00412BB3"/>
    <w:rsid w:val="00413427"/>
    <w:rsid w:val="00413AFD"/>
    <w:rsid w:val="00415515"/>
    <w:rsid w:val="00415D3F"/>
    <w:rsid w:val="00415EF3"/>
    <w:rsid w:val="00416DF8"/>
    <w:rsid w:val="004216C9"/>
    <w:rsid w:val="00421B24"/>
    <w:rsid w:val="0042245E"/>
    <w:rsid w:val="004226BA"/>
    <w:rsid w:val="004228B8"/>
    <w:rsid w:val="004233DC"/>
    <w:rsid w:val="0042359E"/>
    <w:rsid w:val="00425455"/>
    <w:rsid w:val="0042640F"/>
    <w:rsid w:val="004277F2"/>
    <w:rsid w:val="00427BEC"/>
    <w:rsid w:val="004303B9"/>
    <w:rsid w:val="00430682"/>
    <w:rsid w:val="004316DE"/>
    <w:rsid w:val="00431740"/>
    <w:rsid w:val="004321B3"/>
    <w:rsid w:val="00432B17"/>
    <w:rsid w:val="004338FC"/>
    <w:rsid w:val="00433DD6"/>
    <w:rsid w:val="00434E77"/>
    <w:rsid w:val="00435DA4"/>
    <w:rsid w:val="00436A69"/>
    <w:rsid w:val="004408FA"/>
    <w:rsid w:val="004410F4"/>
    <w:rsid w:val="004429D2"/>
    <w:rsid w:val="00443046"/>
    <w:rsid w:val="00444325"/>
    <w:rsid w:val="00445545"/>
    <w:rsid w:val="0044731C"/>
    <w:rsid w:val="00450581"/>
    <w:rsid w:val="00451DEA"/>
    <w:rsid w:val="00452271"/>
    <w:rsid w:val="004526EE"/>
    <w:rsid w:val="00452FD2"/>
    <w:rsid w:val="00453411"/>
    <w:rsid w:val="00454440"/>
    <w:rsid w:val="00454FC3"/>
    <w:rsid w:val="00455581"/>
    <w:rsid w:val="00455C00"/>
    <w:rsid w:val="00456862"/>
    <w:rsid w:val="00456B89"/>
    <w:rsid w:val="00457973"/>
    <w:rsid w:val="0046009B"/>
    <w:rsid w:val="00460E0C"/>
    <w:rsid w:val="00460F30"/>
    <w:rsid w:val="00461ADE"/>
    <w:rsid w:val="00461F00"/>
    <w:rsid w:val="00462C10"/>
    <w:rsid w:val="00463463"/>
    <w:rsid w:val="0046373A"/>
    <w:rsid w:val="00466D55"/>
    <w:rsid w:val="0047020E"/>
    <w:rsid w:val="004719A8"/>
    <w:rsid w:val="00471A46"/>
    <w:rsid w:val="00473460"/>
    <w:rsid w:val="00474DCA"/>
    <w:rsid w:val="00476A99"/>
    <w:rsid w:val="00476C07"/>
    <w:rsid w:val="00477AA9"/>
    <w:rsid w:val="00481510"/>
    <w:rsid w:val="00482AF2"/>
    <w:rsid w:val="00483075"/>
    <w:rsid w:val="00483D71"/>
    <w:rsid w:val="00483DEB"/>
    <w:rsid w:val="00484C4B"/>
    <w:rsid w:val="004869B7"/>
    <w:rsid w:val="00486F8C"/>
    <w:rsid w:val="004901C4"/>
    <w:rsid w:val="004906DC"/>
    <w:rsid w:val="00491431"/>
    <w:rsid w:val="004919C2"/>
    <w:rsid w:val="00492CE2"/>
    <w:rsid w:val="00496F3E"/>
    <w:rsid w:val="004A1133"/>
    <w:rsid w:val="004A38DB"/>
    <w:rsid w:val="004A3CD5"/>
    <w:rsid w:val="004A5830"/>
    <w:rsid w:val="004A60D8"/>
    <w:rsid w:val="004A6BE8"/>
    <w:rsid w:val="004B01E7"/>
    <w:rsid w:val="004B0D22"/>
    <w:rsid w:val="004B1645"/>
    <w:rsid w:val="004B1A1E"/>
    <w:rsid w:val="004B36D3"/>
    <w:rsid w:val="004B4CB4"/>
    <w:rsid w:val="004B5040"/>
    <w:rsid w:val="004C11DC"/>
    <w:rsid w:val="004C523F"/>
    <w:rsid w:val="004C6E70"/>
    <w:rsid w:val="004C7000"/>
    <w:rsid w:val="004C71CF"/>
    <w:rsid w:val="004D2772"/>
    <w:rsid w:val="004D28B8"/>
    <w:rsid w:val="004D38FB"/>
    <w:rsid w:val="004D5D7D"/>
    <w:rsid w:val="004D62F3"/>
    <w:rsid w:val="004D6F23"/>
    <w:rsid w:val="004E079A"/>
    <w:rsid w:val="004E2026"/>
    <w:rsid w:val="004E2EF1"/>
    <w:rsid w:val="004E4E37"/>
    <w:rsid w:val="004E5567"/>
    <w:rsid w:val="004E74F4"/>
    <w:rsid w:val="004E7A9C"/>
    <w:rsid w:val="004E7B8D"/>
    <w:rsid w:val="004F12CF"/>
    <w:rsid w:val="004F2453"/>
    <w:rsid w:val="004F2586"/>
    <w:rsid w:val="004F314D"/>
    <w:rsid w:val="004F3EBF"/>
    <w:rsid w:val="004F4B0D"/>
    <w:rsid w:val="004F5839"/>
    <w:rsid w:val="004F6C29"/>
    <w:rsid w:val="004F6DA7"/>
    <w:rsid w:val="00500F08"/>
    <w:rsid w:val="005029D6"/>
    <w:rsid w:val="00502D76"/>
    <w:rsid w:val="005039E4"/>
    <w:rsid w:val="00505958"/>
    <w:rsid w:val="00505C95"/>
    <w:rsid w:val="00506046"/>
    <w:rsid w:val="00506C35"/>
    <w:rsid w:val="00507258"/>
    <w:rsid w:val="00507A63"/>
    <w:rsid w:val="00514216"/>
    <w:rsid w:val="005145DE"/>
    <w:rsid w:val="005153C0"/>
    <w:rsid w:val="005157C8"/>
    <w:rsid w:val="005175FD"/>
    <w:rsid w:val="00517693"/>
    <w:rsid w:val="005177E2"/>
    <w:rsid w:val="0052001F"/>
    <w:rsid w:val="005202E6"/>
    <w:rsid w:val="00520DBC"/>
    <w:rsid w:val="00524A5A"/>
    <w:rsid w:val="005252F3"/>
    <w:rsid w:val="00526002"/>
    <w:rsid w:val="00526636"/>
    <w:rsid w:val="00527799"/>
    <w:rsid w:val="00527E30"/>
    <w:rsid w:val="00530257"/>
    <w:rsid w:val="00530906"/>
    <w:rsid w:val="00531EC9"/>
    <w:rsid w:val="00533505"/>
    <w:rsid w:val="00533A90"/>
    <w:rsid w:val="00533D80"/>
    <w:rsid w:val="00534882"/>
    <w:rsid w:val="005403CC"/>
    <w:rsid w:val="0054113D"/>
    <w:rsid w:val="0054189F"/>
    <w:rsid w:val="005420AC"/>
    <w:rsid w:val="00542A8E"/>
    <w:rsid w:val="00544EF8"/>
    <w:rsid w:val="0054525B"/>
    <w:rsid w:val="00546423"/>
    <w:rsid w:val="005464EF"/>
    <w:rsid w:val="005538BD"/>
    <w:rsid w:val="005543E3"/>
    <w:rsid w:val="00554AFE"/>
    <w:rsid w:val="00555032"/>
    <w:rsid w:val="00555C4B"/>
    <w:rsid w:val="00556959"/>
    <w:rsid w:val="005576F5"/>
    <w:rsid w:val="00560980"/>
    <w:rsid w:val="005638A3"/>
    <w:rsid w:val="005660F7"/>
    <w:rsid w:val="00567080"/>
    <w:rsid w:val="00570377"/>
    <w:rsid w:val="0057128D"/>
    <w:rsid w:val="0057216B"/>
    <w:rsid w:val="005722FD"/>
    <w:rsid w:val="00573471"/>
    <w:rsid w:val="00573690"/>
    <w:rsid w:val="005747CE"/>
    <w:rsid w:val="005747F3"/>
    <w:rsid w:val="00575287"/>
    <w:rsid w:val="00577317"/>
    <w:rsid w:val="00577372"/>
    <w:rsid w:val="00577F5B"/>
    <w:rsid w:val="0058102C"/>
    <w:rsid w:val="00581094"/>
    <w:rsid w:val="00581112"/>
    <w:rsid w:val="005814CC"/>
    <w:rsid w:val="00582C3F"/>
    <w:rsid w:val="00583426"/>
    <w:rsid w:val="00583C4A"/>
    <w:rsid w:val="00583E06"/>
    <w:rsid w:val="005850E9"/>
    <w:rsid w:val="0058519A"/>
    <w:rsid w:val="00590E38"/>
    <w:rsid w:val="005910C0"/>
    <w:rsid w:val="0059197C"/>
    <w:rsid w:val="00592104"/>
    <w:rsid w:val="00595383"/>
    <w:rsid w:val="00596E50"/>
    <w:rsid w:val="0059734F"/>
    <w:rsid w:val="00597AB0"/>
    <w:rsid w:val="00597B5C"/>
    <w:rsid w:val="00597BCB"/>
    <w:rsid w:val="00597E70"/>
    <w:rsid w:val="005A0FEE"/>
    <w:rsid w:val="005A170B"/>
    <w:rsid w:val="005A189C"/>
    <w:rsid w:val="005A2F5A"/>
    <w:rsid w:val="005A4ED4"/>
    <w:rsid w:val="005A73CB"/>
    <w:rsid w:val="005B2E54"/>
    <w:rsid w:val="005B4746"/>
    <w:rsid w:val="005B5213"/>
    <w:rsid w:val="005B64CF"/>
    <w:rsid w:val="005C0DE1"/>
    <w:rsid w:val="005C10A0"/>
    <w:rsid w:val="005C1B16"/>
    <w:rsid w:val="005C2055"/>
    <w:rsid w:val="005C22F0"/>
    <w:rsid w:val="005C3D59"/>
    <w:rsid w:val="005C44F3"/>
    <w:rsid w:val="005C49A0"/>
    <w:rsid w:val="005C6CB1"/>
    <w:rsid w:val="005C6FC9"/>
    <w:rsid w:val="005C72BE"/>
    <w:rsid w:val="005D1D8C"/>
    <w:rsid w:val="005D2308"/>
    <w:rsid w:val="005D32DA"/>
    <w:rsid w:val="005D37AC"/>
    <w:rsid w:val="005D4B39"/>
    <w:rsid w:val="005D5102"/>
    <w:rsid w:val="005D5BD1"/>
    <w:rsid w:val="005D5E81"/>
    <w:rsid w:val="005D7226"/>
    <w:rsid w:val="005D744E"/>
    <w:rsid w:val="005D7687"/>
    <w:rsid w:val="005E1FED"/>
    <w:rsid w:val="005E2133"/>
    <w:rsid w:val="005E29C0"/>
    <w:rsid w:val="005E2F9E"/>
    <w:rsid w:val="005E3D2D"/>
    <w:rsid w:val="005E3DB7"/>
    <w:rsid w:val="005E4AAD"/>
    <w:rsid w:val="005E517D"/>
    <w:rsid w:val="005E589C"/>
    <w:rsid w:val="005E5FCE"/>
    <w:rsid w:val="005E66EE"/>
    <w:rsid w:val="005E685B"/>
    <w:rsid w:val="005F00A8"/>
    <w:rsid w:val="005F0629"/>
    <w:rsid w:val="005F1489"/>
    <w:rsid w:val="005F248A"/>
    <w:rsid w:val="005F2DBF"/>
    <w:rsid w:val="005F3001"/>
    <w:rsid w:val="005F328C"/>
    <w:rsid w:val="005F3725"/>
    <w:rsid w:val="005F38B9"/>
    <w:rsid w:val="005F65B6"/>
    <w:rsid w:val="005F6A14"/>
    <w:rsid w:val="00600083"/>
    <w:rsid w:val="00600C8D"/>
    <w:rsid w:val="00602FA3"/>
    <w:rsid w:val="006041E7"/>
    <w:rsid w:val="00606476"/>
    <w:rsid w:val="006065D0"/>
    <w:rsid w:val="006067F4"/>
    <w:rsid w:val="00607214"/>
    <w:rsid w:val="00607216"/>
    <w:rsid w:val="006108DB"/>
    <w:rsid w:val="006114C6"/>
    <w:rsid w:val="0061288C"/>
    <w:rsid w:val="0061315A"/>
    <w:rsid w:val="00613E24"/>
    <w:rsid w:val="006144DE"/>
    <w:rsid w:val="00614786"/>
    <w:rsid w:val="00615516"/>
    <w:rsid w:val="006167F3"/>
    <w:rsid w:val="00617CDB"/>
    <w:rsid w:val="00620667"/>
    <w:rsid w:val="006213B7"/>
    <w:rsid w:val="00621F6F"/>
    <w:rsid w:val="006225B6"/>
    <w:rsid w:val="0062324C"/>
    <w:rsid w:val="006242E5"/>
    <w:rsid w:val="00624B74"/>
    <w:rsid w:val="00624D28"/>
    <w:rsid w:val="006254F1"/>
    <w:rsid w:val="0062685E"/>
    <w:rsid w:val="00627DEE"/>
    <w:rsid w:val="00631914"/>
    <w:rsid w:val="00631B15"/>
    <w:rsid w:val="00633940"/>
    <w:rsid w:val="00634304"/>
    <w:rsid w:val="00636F03"/>
    <w:rsid w:val="006373F9"/>
    <w:rsid w:val="00637784"/>
    <w:rsid w:val="006409BA"/>
    <w:rsid w:val="00640A00"/>
    <w:rsid w:val="00641A5C"/>
    <w:rsid w:val="00642445"/>
    <w:rsid w:val="006426AC"/>
    <w:rsid w:val="00642C8C"/>
    <w:rsid w:val="00643CEC"/>
    <w:rsid w:val="00647C43"/>
    <w:rsid w:val="00650486"/>
    <w:rsid w:val="00650888"/>
    <w:rsid w:val="00651564"/>
    <w:rsid w:val="00653787"/>
    <w:rsid w:val="00653DD7"/>
    <w:rsid w:val="00654264"/>
    <w:rsid w:val="006551C4"/>
    <w:rsid w:val="00655469"/>
    <w:rsid w:val="00655DAC"/>
    <w:rsid w:val="00655FF1"/>
    <w:rsid w:val="0066072C"/>
    <w:rsid w:val="00663A28"/>
    <w:rsid w:val="00664079"/>
    <w:rsid w:val="006641F5"/>
    <w:rsid w:val="006647BC"/>
    <w:rsid w:val="006651B6"/>
    <w:rsid w:val="006667A1"/>
    <w:rsid w:val="00670028"/>
    <w:rsid w:val="00670EEB"/>
    <w:rsid w:val="00671C8F"/>
    <w:rsid w:val="00672739"/>
    <w:rsid w:val="0067331C"/>
    <w:rsid w:val="00674E7D"/>
    <w:rsid w:val="0067540E"/>
    <w:rsid w:val="006778C4"/>
    <w:rsid w:val="006802B4"/>
    <w:rsid w:val="00681D53"/>
    <w:rsid w:val="00682DF5"/>
    <w:rsid w:val="0068381B"/>
    <w:rsid w:val="006862B1"/>
    <w:rsid w:val="0069047F"/>
    <w:rsid w:val="0069391C"/>
    <w:rsid w:val="00693A70"/>
    <w:rsid w:val="0069460C"/>
    <w:rsid w:val="0069795F"/>
    <w:rsid w:val="006A2F23"/>
    <w:rsid w:val="006A4561"/>
    <w:rsid w:val="006A504F"/>
    <w:rsid w:val="006A52C9"/>
    <w:rsid w:val="006A5A2F"/>
    <w:rsid w:val="006A75A3"/>
    <w:rsid w:val="006B0A00"/>
    <w:rsid w:val="006B0F84"/>
    <w:rsid w:val="006B18A1"/>
    <w:rsid w:val="006B2241"/>
    <w:rsid w:val="006B2A50"/>
    <w:rsid w:val="006B5311"/>
    <w:rsid w:val="006B619A"/>
    <w:rsid w:val="006B61AC"/>
    <w:rsid w:val="006B6782"/>
    <w:rsid w:val="006B68B1"/>
    <w:rsid w:val="006B6B23"/>
    <w:rsid w:val="006B78D3"/>
    <w:rsid w:val="006C2928"/>
    <w:rsid w:val="006C2BC7"/>
    <w:rsid w:val="006C2F51"/>
    <w:rsid w:val="006C4615"/>
    <w:rsid w:val="006C690E"/>
    <w:rsid w:val="006C6A75"/>
    <w:rsid w:val="006D0338"/>
    <w:rsid w:val="006D114A"/>
    <w:rsid w:val="006D3FE7"/>
    <w:rsid w:val="006D50A9"/>
    <w:rsid w:val="006D5498"/>
    <w:rsid w:val="006D6C4F"/>
    <w:rsid w:val="006E1678"/>
    <w:rsid w:val="006E34DD"/>
    <w:rsid w:val="006E4793"/>
    <w:rsid w:val="006F10AB"/>
    <w:rsid w:val="006F16B9"/>
    <w:rsid w:val="006F238C"/>
    <w:rsid w:val="006F2A71"/>
    <w:rsid w:val="006F2C94"/>
    <w:rsid w:val="006F4A31"/>
    <w:rsid w:val="006F5B00"/>
    <w:rsid w:val="006F625B"/>
    <w:rsid w:val="00700EF9"/>
    <w:rsid w:val="00701C4E"/>
    <w:rsid w:val="007022B4"/>
    <w:rsid w:val="00703333"/>
    <w:rsid w:val="007036B8"/>
    <w:rsid w:val="007100F9"/>
    <w:rsid w:val="00710F37"/>
    <w:rsid w:val="00711731"/>
    <w:rsid w:val="0071199E"/>
    <w:rsid w:val="00711CFF"/>
    <w:rsid w:val="007124FA"/>
    <w:rsid w:val="00712EE8"/>
    <w:rsid w:val="00714D6B"/>
    <w:rsid w:val="00716A71"/>
    <w:rsid w:val="00716C00"/>
    <w:rsid w:val="0071784E"/>
    <w:rsid w:val="00721CC5"/>
    <w:rsid w:val="007237E9"/>
    <w:rsid w:val="0072419B"/>
    <w:rsid w:val="00724467"/>
    <w:rsid w:val="00725158"/>
    <w:rsid w:val="007251B5"/>
    <w:rsid w:val="00725957"/>
    <w:rsid w:val="00725B19"/>
    <w:rsid w:val="007262ED"/>
    <w:rsid w:val="00726B32"/>
    <w:rsid w:val="00730526"/>
    <w:rsid w:val="00733787"/>
    <w:rsid w:val="00733A9D"/>
    <w:rsid w:val="00735C86"/>
    <w:rsid w:val="00736029"/>
    <w:rsid w:val="007402A3"/>
    <w:rsid w:val="007411AF"/>
    <w:rsid w:val="00744D3D"/>
    <w:rsid w:val="00745B87"/>
    <w:rsid w:val="007467D4"/>
    <w:rsid w:val="00746B28"/>
    <w:rsid w:val="00746D50"/>
    <w:rsid w:val="00746FCC"/>
    <w:rsid w:val="00746FFE"/>
    <w:rsid w:val="0075229A"/>
    <w:rsid w:val="007522B6"/>
    <w:rsid w:val="00752E77"/>
    <w:rsid w:val="00753FB7"/>
    <w:rsid w:val="00754550"/>
    <w:rsid w:val="0075480F"/>
    <w:rsid w:val="00757D7E"/>
    <w:rsid w:val="0076344F"/>
    <w:rsid w:val="007640F0"/>
    <w:rsid w:val="0076494A"/>
    <w:rsid w:val="00764DC9"/>
    <w:rsid w:val="00766268"/>
    <w:rsid w:val="007677C1"/>
    <w:rsid w:val="00767BE7"/>
    <w:rsid w:val="007700CF"/>
    <w:rsid w:val="007700FF"/>
    <w:rsid w:val="007724E5"/>
    <w:rsid w:val="00772593"/>
    <w:rsid w:val="00772A45"/>
    <w:rsid w:val="00772C6A"/>
    <w:rsid w:val="00774C75"/>
    <w:rsid w:val="007754A6"/>
    <w:rsid w:val="00775B23"/>
    <w:rsid w:val="00776313"/>
    <w:rsid w:val="00776C50"/>
    <w:rsid w:val="00780293"/>
    <w:rsid w:val="00780C5F"/>
    <w:rsid w:val="00782495"/>
    <w:rsid w:val="007839AE"/>
    <w:rsid w:val="00785209"/>
    <w:rsid w:val="007930A2"/>
    <w:rsid w:val="00793E85"/>
    <w:rsid w:val="00794976"/>
    <w:rsid w:val="007A2400"/>
    <w:rsid w:val="007A26E6"/>
    <w:rsid w:val="007A2BA3"/>
    <w:rsid w:val="007A3F9A"/>
    <w:rsid w:val="007A4B87"/>
    <w:rsid w:val="007A515B"/>
    <w:rsid w:val="007A63DA"/>
    <w:rsid w:val="007A6D87"/>
    <w:rsid w:val="007B131D"/>
    <w:rsid w:val="007B17B5"/>
    <w:rsid w:val="007B1F32"/>
    <w:rsid w:val="007B254E"/>
    <w:rsid w:val="007B337E"/>
    <w:rsid w:val="007B437C"/>
    <w:rsid w:val="007B539A"/>
    <w:rsid w:val="007B7A80"/>
    <w:rsid w:val="007B7CAA"/>
    <w:rsid w:val="007C0E40"/>
    <w:rsid w:val="007C183A"/>
    <w:rsid w:val="007C1DF9"/>
    <w:rsid w:val="007C2233"/>
    <w:rsid w:val="007C2554"/>
    <w:rsid w:val="007C38BC"/>
    <w:rsid w:val="007C39C2"/>
    <w:rsid w:val="007C5591"/>
    <w:rsid w:val="007C699A"/>
    <w:rsid w:val="007C71EE"/>
    <w:rsid w:val="007C7206"/>
    <w:rsid w:val="007C7475"/>
    <w:rsid w:val="007C7AA4"/>
    <w:rsid w:val="007C7B32"/>
    <w:rsid w:val="007D0D1B"/>
    <w:rsid w:val="007D1753"/>
    <w:rsid w:val="007D19FF"/>
    <w:rsid w:val="007D3DE6"/>
    <w:rsid w:val="007D4723"/>
    <w:rsid w:val="007D4BAE"/>
    <w:rsid w:val="007D59D6"/>
    <w:rsid w:val="007D6B0D"/>
    <w:rsid w:val="007E0C77"/>
    <w:rsid w:val="007E25BF"/>
    <w:rsid w:val="007E2D7C"/>
    <w:rsid w:val="007E3453"/>
    <w:rsid w:val="007E3AA4"/>
    <w:rsid w:val="007E4896"/>
    <w:rsid w:val="007E6736"/>
    <w:rsid w:val="007E6B28"/>
    <w:rsid w:val="007E7CAF"/>
    <w:rsid w:val="007F0679"/>
    <w:rsid w:val="007F1B1D"/>
    <w:rsid w:val="007F4F4E"/>
    <w:rsid w:val="007F7015"/>
    <w:rsid w:val="007F767E"/>
    <w:rsid w:val="008011DD"/>
    <w:rsid w:val="00801C40"/>
    <w:rsid w:val="008031AF"/>
    <w:rsid w:val="00803E3E"/>
    <w:rsid w:val="0080463F"/>
    <w:rsid w:val="00805E51"/>
    <w:rsid w:val="00806147"/>
    <w:rsid w:val="00806497"/>
    <w:rsid w:val="0081079B"/>
    <w:rsid w:val="008116F4"/>
    <w:rsid w:val="0081184B"/>
    <w:rsid w:val="008118BB"/>
    <w:rsid w:val="00811CA1"/>
    <w:rsid w:val="00811EF2"/>
    <w:rsid w:val="0081212D"/>
    <w:rsid w:val="00812990"/>
    <w:rsid w:val="0081409A"/>
    <w:rsid w:val="0081485B"/>
    <w:rsid w:val="00814A61"/>
    <w:rsid w:val="008159E5"/>
    <w:rsid w:val="008164E4"/>
    <w:rsid w:val="00823ACC"/>
    <w:rsid w:val="008266B7"/>
    <w:rsid w:val="008322F5"/>
    <w:rsid w:val="00832590"/>
    <w:rsid w:val="00832E42"/>
    <w:rsid w:val="008331AA"/>
    <w:rsid w:val="0083334B"/>
    <w:rsid w:val="00833A4F"/>
    <w:rsid w:val="00833F13"/>
    <w:rsid w:val="008345D3"/>
    <w:rsid w:val="00834CC6"/>
    <w:rsid w:val="00835363"/>
    <w:rsid w:val="00836A43"/>
    <w:rsid w:val="0083749C"/>
    <w:rsid w:val="00840A6E"/>
    <w:rsid w:val="00840F7C"/>
    <w:rsid w:val="00841ECB"/>
    <w:rsid w:val="00842080"/>
    <w:rsid w:val="0084413E"/>
    <w:rsid w:val="00844263"/>
    <w:rsid w:val="00844351"/>
    <w:rsid w:val="00845EB9"/>
    <w:rsid w:val="00846677"/>
    <w:rsid w:val="00846858"/>
    <w:rsid w:val="00850340"/>
    <w:rsid w:val="008511F7"/>
    <w:rsid w:val="008519C2"/>
    <w:rsid w:val="00851AEF"/>
    <w:rsid w:val="00853F9D"/>
    <w:rsid w:val="00854145"/>
    <w:rsid w:val="00854522"/>
    <w:rsid w:val="00856FCE"/>
    <w:rsid w:val="00860B76"/>
    <w:rsid w:val="00860F4A"/>
    <w:rsid w:val="00861348"/>
    <w:rsid w:val="008621BB"/>
    <w:rsid w:val="008647F9"/>
    <w:rsid w:val="00865C00"/>
    <w:rsid w:val="00866E3A"/>
    <w:rsid w:val="00867D47"/>
    <w:rsid w:val="008715CA"/>
    <w:rsid w:val="0087435A"/>
    <w:rsid w:val="008743A7"/>
    <w:rsid w:val="00875FC2"/>
    <w:rsid w:val="008769BF"/>
    <w:rsid w:val="008821D9"/>
    <w:rsid w:val="0088267C"/>
    <w:rsid w:val="00884375"/>
    <w:rsid w:val="008858EA"/>
    <w:rsid w:val="008858F0"/>
    <w:rsid w:val="0089062E"/>
    <w:rsid w:val="00890DA7"/>
    <w:rsid w:val="00891E03"/>
    <w:rsid w:val="00891F8F"/>
    <w:rsid w:val="0089257D"/>
    <w:rsid w:val="008926F1"/>
    <w:rsid w:val="008940DB"/>
    <w:rsid w:val="008947ED"/>
    <w:rsid w:val="00895729"/>
    <w:rsid w:val="00897049"/>
    <w:rsid w:val="008A132A"/>
    <w:rsid w:val="008A187F"/>
    <w:rsid w:val="008A1882"/>
    <w:rsid w:val="008A3A21"/>
    <w:rsid w:val="008A5E0B"/>
    <w:rsid w:val="008A606F"/>
    <w:rsid w:val="008A77AE"/>
    <w:rsid w:val="008B0CA6"/>
    <w:rsid w:val="008B209F"/>
    <w:rsid w:val="008B32A4"/>
    <w:rsid w:val="008B506E"/>
    <w:rsid w:val="008B5A7A"/>
    <w:rsid w:val="008B5BDE"/>
    <w:rsid w:val="008B5C00"/>
    <w:rsid w:val="008B770D"/>
    <w:rsid w:val="008C00AA"/>
    <w:rsid w:val="008C0542"/>
    <w:rsid w:val="008C0689"/>
    <w:rsid w:val="008C18E8"/>
    <w:rsid w:val="008C3014"/>
    <w:rsid w:val="008C5C7B"/>
    <w:rsid w:val="008C5E58"/>
    <w:rsid w:val="008C63D8"/>
    <w:rsid w:val="008C66F8"/>
    <w:rsid w:val="008C7217"/>
    <w:rsid w:val="008C7392"/>
    <w:rsid w:val="008D0293"/>
    <w:rsid w:val="008D133A"/>
    <w:rsid w:val="008D1663"/>
    <w:rsid w:val="008D1C75"/>
    <w:rsid w:val="008D221B"/>
    <w:rsid w:val="008D2D53"/>
    <w:rsid w:val="008D59C6"/>
    <w:rsid w:val="008D627C"/>
    <w:rsid w:val="008D64D3"/>
    <w:rsid w:val="008D6A1E"/>
    <w:rsid w:val="008D7776"/>
    <w:rsid w:val="008E0028"/>
    <w:rsid w:val="008E09C2"/>
    <w:rsid w:val="008E0C76"/>
    <w:rsid w:val="008E2104"/>
    <w:rsid w:val="008E2DD4"/>
    <w:rsid w:val="008E344D"/>
    <w:rsid w:val="008E34E4"/>
    <w:rsid w:val="008E362D"/>
    <w:rsid w:val="008E4841"/>
    <w:rsid w:val="008E495F"/>
    <w:rsid w:val="008E5427"/>
    <w:rsid w:val="008E6353"/>
    <w:rsid w:val="008F012B"/>
    <w:rsid w:val="008F0F8A"/>
    <w:rsid w:val="008F4D9C"/>
    <w:rsid w:val="008F56E0"/>
    <w:rsid w:val="008F5CFB"/>
    <w:rsid w:val="008F6544"/>
    <w:rsid w:val="008F68B5"/>
    <w:rsid w:val="008F6FD8"/>
    <w:rsid w:val="008F731F"/>
    <w:rsid w:val="0090076E"/>
    <w:rsid w:val="00900EDA"/>
    <w:rsid w:val="00902EDE"/>
    <w:rsid w:val="00903D83"/>
    <w:rsid w:val="00903F2F"/>
    <w:rsid w:val="00905572"/>
    <w:rsid w:val="009074DB"/>
    <w:rsid w:val="00907815"/>
    <w:rsid w:val="0091334D"/>
    <w:rsid w:val="00913440"/>
    <w:rsid w:val="00914292"/>
    <w:rsid w:val="00914822"/>
    <w:rsid w:val="009148E5"/>
    <w:rsid w:val="00914C19"/>
    <w:rsid w:val="00914C95"/>
    <w:rsid w:val="00915AC4"/>
    <w:rsid w:val="00915F75"/>
    <w:rsid w:val="00915FAE"/>
    <w:rsid w:val="00916EC7"/>
    <w:rsid w:val="00916F26"/>
    <w:rsid w:val="0091764B"/>
    <w:rsid w:val="00920745"/>
    <w:rsid w:val="00920E12"/>
    <w:rsid w:val="0092231A"/>
    <w:rsid w:val="009232C6"/>
    <w:rsid w:val="00923A46"/>
    <w:rsid w:val="00924EF0"/>
    <w:rsid w:val="00925220"/>
    <w:rsid w:val="00925757"/>
    <w:rsid w:val="00925A85"/>
    <w:rsid w:val="00925DDB"/>
    <w:rsid w:val="009275F6"/>
    <w:rsid w:val="00931100"/>
    <w:rsid w:val="009317B4"/>
    <w:rsid w:val="00932175"/>
    <w:rsid w:val="009377FB"/>
    <w:rsid w:val="00937F30"/>
    <w:rsid w:val="00941177"/>
    <w:rsid w:val="009422D7"/>
    <w:rsid w:val="00943820"/>
    <w:rsid w:val="00943A23"/>
    <w:rsid w:val="00945A05"/>
    <w:rsid w:val="00947452"/>
    <w:rsid w:val="0095091F"/>
    <w:rsid w:val="00950B5E"/>
    <w:rsid w:val="00951D2B"/>
    <w:rsid w:val="009520BD"/>
    <w:rsid w:val="009526E2"/>
    <w:rsid w:val="0095272F"/>
    <w:rsid w:val="00953A3A"/>
    <w:rsid w:val="00953E1C"/>
    <w:rsid w:val="00954282"/>
    <w:rsid w:val="00955A35"/>
    <w:rsid w:val="00956F2A"/>
    <w:rsid w:val="00956FF6"/>
    <w:rsid w:val="00957120"/>
    <w:rsid w:val="00961042"/>
    <w:rsid w:val="00962DF3"/>
    <w:rsid w:val="0096303B"/>
    <w:rsid w:val="009635E2"/>
    <w:rsid w:val="009642F8"/>
    <w:rsid w:val="00964734"/>
    <w:rsid w:val="00964E79"/>
    <w:rsid w:val="00966675"/>
    <w:rsid w:val="00966E47"/>
    <w:rsid w:val="009713FD"/>
    <w:rsid w:val="00971466"/>
    <w:rsid w:val="009714E3"/>
    <w:rsid w:val="00971CD0"/>
    <w:rsid w:val="009739A5"/>
    <w:rsid w:val="00973C53"/>
    <w:rsid w:val="00976261"/>
    <w:rsid w:val="00980D3E"/>
    <w:rsid w:val="00980F4C"/>
    <w:rsid w:val="0098257F"/>
    <w:rsid w:val="009831F8"/>
    <w:rsid w:val="00983F4F"/>
    <w:rsid w:val="00984B0A"/>
    <w:rsid w:val="00984F37"/>
    <w:rsid w:val="00987B5B"/>
    <w:rsid w:val="0099028A"/>
    <w:rsid w:val="009913B8"/>
    <w:rsid w:val="00996B9A"/>
    <w:rsid w:val="009978E9"/>
    <w:rsid w:val="009A28D4"/>
    <w:rsid w:val="009A2BA6"/>
    <w:rsid w:val="009A3AE6"/>
    <w:rsid w:val="009A5841"/>
    <w:rsid w:val="009A5AE9"/>
    <w:rsid w:val="009A629F"/>
    <w:rsid w:val="009B50E8"/>
    <w:rsid w:val="009B5110"/>
    <w:rsid w:val="009B5D10"/>
    <w:rsid w:val="009B7D24"/>
    <w:rsid w:val="009C02F0"/>
    <w:rsid w:val="009C142C"/>
    <w:rsid w:val="009C1A4A"/>
    <w:rsid w:val="009C1E52"/>
    <w:rsid w:val="009C39EE"/>
    <w:rsid w:val="009C4096"/>
    <w:rsid w:val="009C4C2D"/>
    <w:rsid w:val="009C65F8"/>
    <w:rsid w:val="009C7CEF"/>
    <w:rsid w:val="009D0007"/>
    <w:rsid w:val="009D121D"/>
    <w:rsid w:val="009D4655"/>
    <w:rsid w:val="009D4889"/>
    <w:rsid w:val="009D4E7F"/>
    <w:rsid w:val="009D57F5"/>
    <w:rsid w:val="009D701C"/>
    <w:rsid w:val="009E115B"/>
    <w:rsid w:val="009E1C21"/>
    <w:rsid w:val="009E431D"/>
    <w:rsid w:val="009E47C6"/>
    <w:rsid w:val="009E49F0"/>
    <w:rsid w:val="009E527D"/>
    <w:rsid w:val="009E566D"/>
    <w:rsid w:val="009E5CAB"/>
    <w:rsid w:val="009E66B2"/>
    <w:rsid w:val="009E733A"/>
    <w:rsid w:val="009F0A8D"/>
    <w:rsid w:val="009F0B5A"/>
    <w:rsid w:val="009F2028"/>
    <w:rsid w:val="009F299F"/>
    <w:rsid w:val="009F3B31"/>
    <w:rsid w:val="009F59AC"/>
    <w:rsid w:val="009F6C78"/>
    <w:rsid w:val="009F717A"/>
    <w:rsid w:val="00A02081"/>
    <w:rsid w:val="00A045AA"/>
    <w:rsid w:val="00A0479F"/>
    <w:rsid w:val="00A04EB7"/>
    <w:rsid w:val="00A0536A"/>
    <w:rsid w:val="00A0741C"/>
    <w:rsid w:val="00A105F7"/>
    <w:rsid w:val="00A11717"/>
    <w:rsid w:val="00A1484B"/>
    <w:rsid w:val="00A16CA1"/>
    <w:rsid w:val="00A22436"/>
    <w:rsid w:val="00A23451"/>
    <w:rsid w:val="00A23570"/>
    <w:rsid w:val="00A23EC8"/>
    <w:rsid w:val="00A26079"/>
    <w:rsid w:val="00A339E7"/>
    <w:rsid w:val="00A3401A"/>
    <w:rsid w:val="00A358B9"/>
    <w:rsid w:val="00A362EE"/>
    <w:rsid w:val="00A37762"/>
    <w:rsid w:val="00A405E8"/>
    <w:rsid w:val="00A40DE5"/>
    <w:rsid w:val="00A42786"/>
    <w:rsid w:val="00A42A69"/>
    <w:rsid w:val="00A43D46"/>
    <w:rsid w:val="00A43FDC"/>
    <w:rsid w:val="00A4527A"/>
    <w:rsid w:val="00A45599"/>
    <w:rsid w:val="00A468FF"/>
    <w:rsid w:val="00A46C2C"/>
    <w:rsid w:val="00A46D75"/>
    <w:rsid w:val="00A472BF"/>
    <w:rsid w:val="00A50C2B"/>
    <w:rsid w:val="00A53537"/>
    <w:rsid w:val="00A54DB8"/>
    <w:rsid w:val="00A54F61"/>
    <w:rsid w:val="00A5628D"/>
    <w:rsid w:val="00A57C80"/>
    <w:rsid w:val="00A57DB7"/>
    <w:rsid w:val="00A60214"/>
    <w:rsid w:val="00A62318"/>
    <w:rsid w:val="00A625CB"/>
    <w:rsid w:val="00A62623"/>
    <w:rsid w:val="00A62DF2"/>
    <w:rsid w:val="00A64770"/>
    <w:rsid w:val="00A65C54"/>
    <w:rsid w:val="00A662EE"/>
    <w:rsid w:val="00A6677C"/>
    <w:rsid w:val="00A67465"/>
    <w:rsid w:val="00A7113E"/>
    <w:rsid w:val="00A71A86"/>
    <w:rsid w:val="00A721BD"/>
    <w:rsid w:val="00A727CA"/>
    <w:rsid w:val="00A74724"/>
    <w:rsid w:val="00A74ADE"/>
    <w:rsid w:val="00A74EFA"/>
    <w:rsid w:val="00A74F15"/>
    <w:rsid w:val="00A763B8"/>
    <w:rsid w:val="00A810F8"/>
    <w:rsid w:val="00A81124"/>
    <w:rsid w:val="00A84528"/>
    <w:rsid w:val="00A84FED"/>
    <w:rsid w:val="00A85BE4"/>
    <w:rsid w:val="00A878F1"/>
    <w:rsid w:val="00A90613"/>
    <w:rsid w:val="00A90E64"/>
    <w:rsid w:val="00A9179C"/>
    <w:rsid w:val="00A9254F"/>
    <w:rsid w:val="00A934A9"/>
    <w:rsid w:val="00A94852"/>
    <w:rsid w:val="00A9565D"/>
    <w:rsid w:val="00A96930"/>
    <w:rsid w:val="00A9696A"/>
    <w:rsid w:val="00AA0063"/>
    <w:rsid w:val="00AA0AAC"/>
    <w:rsid w:val="00AA0ABF"/>
    <w:rsid w:val="00AA273A"/>
    <w:rsid w:val="00AA2A34"/>
    <w:rsid w:val="00AA4383"/>
    <w:rsid w:val="00AA54B9"/>
    <w:rsid w:val="00AA64B3"/>
    <w:rsid w:val="00AA6F18"/>
    <w:rsid w:val="00AB0183"/>
    <w:rsid w:val="00AB0DC0"/>
    <w:rsid w:val="00AB12FC"/>
    <w:rsid w:val="00AB1C26"/>
    <w:rsid w:val="00AB1F11"/>
    <w:rsid w:val="00AB2BCB"/>
    <w:rsid w:val="00AB3199"/>
    <w:rsid w:val="00AB4893"/>
    <w:rsid w:val="00AB4FB4"/>
    <w:rsid w:val="00AB560B"/>
    <w:rsid w:val="00AB7E2A"/>
    <w:rsid w:val="00AC0CA5"/>
    <w:rsid w:val="00AC357E"/>
    <w:rsid w:val="00AC39CE"/>
    <w:rsid w:val="00AC4425"/>
    <w:rsid w:val="00AC505A"/>
    <w:rsid w:val="00AC6D44"/>
    <w:rsid w:val="00AD0A93"/>
    <w:rsid w:val="00AD105E"/>
    <w:rsid w:val="00AD12B9"/>
    <w:rsid w:val="00AD1FA8"/>
    <w:rsid w:val="00AD46CB"/>
    <w:rsid w:val="00AD4840"/>
    <w:rsid w:val="00AD4ED7"/>
    <w:rsid w:val="00AD5569"/>
    <w:rsid w:val="00AD7598"/>
    <w:rsid w:val="00AE0D0F"/>
    <w:rsid w:val="00AE114B"/>
    <w:rsid w:val="00AE1875"/>
    <w:rsid w:val="00AE24C5"/>
    <w:rsid w:val="00AE2627"/>
    <w:rsid w:val="00AE63D9"/>
    <w:rsid w:val="00AE74DD"/>
    <w:rsid w:val="00AF0AE2"/>
    <w:rsid w:val="00AF0CFA"/>
    <w:rsid w:val="00AF13E4"/>
    <w:rsid w:val="00AF193D"/>
    <w:rsid w:val="00AF2228"/>
    <w:rsid w:val="00AF27BF"/>
    <w:rsid w:val="00B03B37"/>
    <w:rsid w:val="00B03F76"/>
    <w:rsid w:val="00B0540F"/>
    <w:rsid w:val="00B0674B"/>
    <w:rsid w:val="00B076E0"/>
    <w:rsid w:val="00B10E92"/>
    <w:rsid w:val="00B115FB"/>
    <w:rsid w:val="00B11FE6"/>
    <w:rsid w:val="00B15C44"/>
    <w:rsid w:val="00B16323"/>
    <w:rsid w:val="00B16E28"/>
    <w:rsid w:val="00B175E7"/>
    <w:rsid w:val="00B20B0A"/>
    <w:rsid w:val="00B20B36"/>
    <w:rsid w:val="00B2166A"/>
    <w:rsid w:val="00B226FF"/>
    <w:rsid w:val="00B22DC2"/>
    <w:rsid w:val="00B23341"/>
    <w:rsid w:val="00B27DBA"/>
    <w:rsid w:val="00B319AC"/>
    <w:rsid w:val="00B31F91"/>
    <w:rsid w:val="00B3285E"/>
    <w:rsid w:val="00B3445F"/>
    <w:rsid w:val="00B34A7B"/>
    <w:rsid w:val="00B3586D"/>
    <w:rsid w:val="00B36BA8"/>
    <w:rsid w:val="00B3732B"/>
    <w:rsid w:val="00B3781D"/>
    <w:rsid w:val="00B4147A"/>
    <w:rsid w:val="00B41D81"/>
    <w:rsid w:val="00B43FAB"/>
    <w:rsid w:val="00B45AEA"/>
    <w:rsid w:val="00B462F8"/>
    <w:rsid w:val="00B47791"/>
    <w:rsid w:val="00B47DCA"/>
    <w:rsid w:val="00B50040"/>
    <w:rsid w:val="00B50B40"/>
    <w:rsid w:val="00B527C2"/>
    <w:rsid w:val="00B5296A"/>
    <w:rsid w:val="00B5365F"/>
    <w:rsid w:val="00B55994"/>
    <w:rsid w:val="00B56AAC"/>
    <w:rsid w:val="00B579B0"/>
    <w:rsid w:val="00B6213E"/>
    <w:rsid w:val="00B62892"/>
    <w:rsid w:val="00B636E1"/>
    <w:rsid w:val="00B64AFC"/>
    <w:rsid w:val="00B657AB"/>
    <w:rsid w:val="00B67075"/>
    <w:rsid w:val="00B67A5A"/>
    <w:rsid w:val="00B67BF5"/>
    <w:rsid w:val="00B706F3"/>
    <w:rsid w:val="00B70A12"/>
    <w:rsid w:val="00B71E1B"/>
    <w:rsid w:val="00B722F8"/>
    <w:rsid w:val="00B72AF0"/>
    <w:rsid w:val="00B73046"/>
    <w:rsid w:val="00B732D6"/>
    <w:rsid w:val="00B7468A"/>
    <w:rsid w:val="00B7777F"/>
    <w:rsid w:val="00B80323"/>
    <w:rsid w:val="00B8191C"/>
    <w:rsid w:val="00B81A7B"/>
    <w:rsid w:val="00B82501"/>
    <w:rsid w:val="00B83772"/>
    <w:rsid w:val="00B83A5C"/>
    <w:rsid w:val="00B83DD5"/>
    <w:rsid w:val="00B851FA"/>
    <w:rsid w:val="00B90364"/>
    <w:rsid w:val="00B90FE6"/>
    <w:rsid w:val="00B910DA"/>
    <w:rsid w:val="00B91538"/>
    <w:rsid w:val="00B91569"/>
    <w:rsid w:val="00B95901"/>
    <w:rsid w:val="00B95920"/>
    <w:rsid w:val="00B95B65"/>
    <w:rsid w:val="00B967F0"/>
    <w:rsid w:val="00B97CFD"/>
    <w:rsid w:val="00BA5C0F"/>
    <w:rsid w:val="00BA79A2"/>
    <w:rsid w:val="00BA7F49"/>
    <w:rsid w:val="00BB144D"/>
    <w:rsid w:val="00BB162C"/>
    <w:rsid w:val="00BB262B"/>
    <w:rsid w:val="00BB2ADB"/>
    <w:rsid w:val="00BB2B23"/>
    <w:rsid w:val="00BB41AD"/>
    <w:rsid w:val="00BB6960"/>
    <w:rsid w:val="00BB7C13"/>
    <w:rsid w:val="00BC2600"/>
    <w:rsid w:val="00BC279D"/>
    <w:rsid w:val="00BC28DC"/>
    <w:rsid w:val="00BC2CAA"/>
    <w:rsid w:val="00BC3B5E"/>
    <w:rsid w:val="00BC460C"/>
    <w:rsid w:val="00BC4A39"/>
    <w:rsid w:val="00BC4E27"/>
    <w:rsid w:val="00BC577E"/>
    <w:rsid w:val="00BC6F2F"/>
    <w:rsid w:val="00BC72D7"/>
    <w:rsid w:val="00BC7D9C"/>
    <w:rsid w:val="00BD01F8"/>
    <w:rsid w:val="00BD06BF"/>
    <w:rsid w:val="00BD163A"/>
    <w:rsid w:val="00BD3624"/>
    <w:rsid w:val="00BD3793"/>
    <w:rsid w:val="00BD3A53"/>
    <w:rsid w:val="00BD4608"/>
    <w:rsid w:val="00BD6BF9"/>
    <w:rsid w:val="00BD6EB2"/>
    <w:rsid w:val="00BE0707"/>
    <w:rsid w:val="00BE1275"/>
    <w:rsid w:val="00BE1633"/>
    <w:rsid w:val="00BE2A55"/>
    <w:rsid w:val="00BE3A4A"/>
    <w:rsid w:val="00BE4D17"/>
    <w:rsid w:val="00BF0947"/>
    <w:rsid w:val="00BF0ECB"/>
    <w:rsid w:val="00BF1083"/>
    <w:rsid w:val="00BF1EF6"/>
    <w:rsid w:val="00BF2299"/>
    <w:rsid w:val="00BF32E5"/>
    <w:rsid w:val="00BF41D1"/>
    <w:rsid w:val="00BF4511"/>
    <w:rsid w:val="00BF477C"/>
    <w:rsid w:val="00BF4A72"/>
    <w:rsid w:val="00BF4C60"/>
    <w:rsid w:val="00BF5B71"/>
    <w:rsid w:val="00BF5EBD"/>
    <w:rsid w:val="00C027BF"/>
    <w:rsid w:val="00C02DE0"/>
    <w:rsid w:val="00C03831"/>
    <w:rsid w:val="00C07392"/>
    <w:rsid w:val="00C1123C"/>
    <w:rsid w:val="00C11686"/>
    <w:rsid w:val="00C12128"/>
    <w:rsid w:val="00C12941"/>
    <w:rsid w:val="00C1667F"/>
    <w:rsid w:val="00C16C57"/>
    <w:rsid w:val="00C16EDD"/>
    <w:rsid w:val="00C171F0"/>
    <w:rsid w:val="00C17BEA"/>
    <w:rsid w:val="00C17E31"/>
    <w:rsid w:val="00C2155B"/>
    <w:rsid w:val="00C22115"/>
    <w:rsid w:val="00C2223A"/>
    <w:rsid w:val="00C22A32"/>
    <w:rsid w:val="00C268ED"/>
    <w:rsid w:val="00C26A24"/>
    <w:rsid w:val="00C26CA4"/>
    <w:rsid w:val="00C30387"/>
    <w:rsid w:val="00C306BB"/>
    <w:rsid w:val="00C30993"/>
    <w:rsid w:val="00C30FEB"/>
    <w:rsid w:val="00C316F5"/>
    <w:rsid w:val="00C32910"/>
    <w:rsid w:val="00C32B31"/>
    <w:rsid w:val="00C34C63"/>
    <w:rsid w:val="00C35782"/>
    <w:rsid w:val="00C368EE"/>
    <w:rsid w:val="00C377B9"/>
    <w:rsid w:val="00C4057F"/>
    <w:rsid w:val="00C405E2"/>
    <w:rsid w:val="00C4073F"/>
    <w:rsid w:val="00C422C3"/>
    <w:rsid w:val="00C424C0"/>
    <w:rsid w:val="00C42E10"/>
    <w:rsid w:val="00C43748"/>
    <w:rsid w:val="00C441C1"/>
    <w:rsid w:val="00C44552"/>
    <w:rsid w:val="00C45329"/>
    <w:rsid w:val="00C46B4A"/>
    <w:rsid w:val="00C46DF1"/>
    <w:rsid w:val="00C514C2"/>
    <w:rsid w:val="00C51565"/>
    <w:rsid w:val="00C5208A"/>
    <w:rsid w:val="00C5351F"/>
    <w:rsid w:val="00C536B3"/>
    <w:rsid w:val="00C53C0C"/>
    <w:rsid w:val="00C54AF5"/>
    <w:rsid w:val="00C56798"/>
    <w:rsid w:val="00C60FF9"/>
    <w:rsid w:val="00C61287"/>
    <w:rsid w:val="00C627FA"/>
    <w:rsid w:val="00C62CB8"/>
    <w:rsid w:val="00C64C31"/>
    <w:rsid w:val="00C6547F"/>
    <w:rsid w:val="00C655A0"/>
    <w:rsid w:val="00C661E6"/>
    <w:rsid w:val="00C66B57"/>
    <w:rsid w:val="00C71932"/>
    <w:rsid w:val="00C72D1B"/>
    <w:rsid w:val="00C73AEF"/>
    <w:rsid w:val="00C75474"/>
    <w:rsid w:val="00C75EDD"/>
    <w:rsid w:val="00C80F99"/>
    <w:rsid w:val="00C8239E"/>
    <w:rsid w:val="00C83F2C"/>
    <w:rsid w:val="00C845C9"/>
    <w:rsid w:val="00C87AFD"/>
    <w:rsid w:val="00C9005E"/>
    <w:rsid w:val="00C9131F"/>
    <w:rsid w:val="00C93005"/>
    <w:rsid w:val="00C933BF"/>
    <w:rsid w:val="00C938D4"/>
    <w:rsid w:val="00C95AA8"/>
    <w:rsid w:val="00C96333"/>
    <w:rsid w:val="00C9653E"/>
    <w:rsid w:val="00C96545"/>
    <w:rsid w:val="00C97A07"/>
    <w:rsid w:val="00CA0AC2"/>
    <w:rsid w:val="00CA11A8"/>
    <w:rsid w:val="00CA24B1"/>
    <w:rsid w:val="00CA250A"/>
    <w:rsid w:val="00CA322C"/>
    <w:rsid w:val="00CA3CEB"/>
    <w:rsid w:val="00CB042C"/>
    <w:rsid w:val="00CB288A"/>
    <w:rsid w:val="00CB3F9E"/>
    <w:rsid w:val="00CB62B6"/>
    <w:rsid w:val="00CB7CB4"/>
    <w:rsid w:val="00CC0028"/>
    <w:rsid w:val="00CC082A"/>
    <w:rsid w:val="00CC0831"/>
    <w:rsid w:val="00CC2795"/>
    <w:rsid w:val="00CC4083"/>
    <w:rsid w:val="00CC4F4D"/>
    <w:rsid w:val="00CC51CF"/>
    <w:rsid w:val="00CC7B3C"/>
    <w:rsid w:val="00CD075C"/>
    <w:rsid w:val="00CD1AA8"/>
    <w:rsid w:val="00CD4D85"/>
    <w:rsid w:val="00CD5328"/>
    <w:rsid w:val="00CD601B"/>
    <w:rsid w:val="00CD6C0A"/>
    <w:rsid w:val="00CD70B9"/>
    <w:rsid w:val="00CE0A05"/>
    <w:rsid w:val="00CE4F44"/>
    <w:rsid w:val="00CE5663"/>
    <w:rsid w:val="00CE67A2"/>
    <w:rsid w:val="00CE76E7"/>
    <w:rsid w:val="00CF259F"/>
    <w:rsid w:val="00CF2F98"/>
    <w:rsid w:val="00CF465F"/>
    <w:rsid w:val="00CF4800"/>
    <w:rsid w:val="00CF5282"/>
    <w:rsid w:val="00CF625C"/>
    <w:rsid w:val="00CF6590"/>
    <w:rsid w:val="00CF72DF"/>
    <w:rsid w:val="00D015EC"/>
    <w:rsid w:val="00D01E13"/>
    <w:rsid w:val="00D02CD8"/>
    <w:rsid w:val="00D03A33"/>
    <w:rsid w:val="00D03A72"/>
    <w:rsid w:val="00D04032"/>
    <w:rsid w:val="00D04E0D"/>
    <w:rsid w:val="00D05897"/>
    <w:rsid w:val="00D05E36"/>
    <w:rsid w:val="00D071BF"/>
    <w:rsid w:val="00D107F8"/>
    <w:rsid w:val="00D10FBA"/>
    <w:rsid w:val="00D11857"/>
    <w:rsid w:val="00D12C1D"/>
    <w:rsid w:val="00D164FA"/>
    <w:rsid w:val="00D20FA9"/>
    <w:rsid w:val="00D21C09"/>
    <w:rsid w:val="00D22C44"/>
    <w:rsid w:val="00D22D47"/>
    <w:rsid w:val="00D2388F"/>
    <w:rsid w:val="00D23C7B"/>
    <w:rsid w:val="00D23F61"/>
    <w:rsid w:val="00D26D45"/>
    <w:rsid w:val="00D274B1"/>
    <w:rsid w:val="00D27A6E"/>
    <w:rsid w:val="00D31676"/>
    <w:rsid w:val="00D325CD"/>
    <w:rsid w:val="00D332B6"/>
    <w:rsid w:val="00D3370F"/>
    <w:rsid w:val="00D34131"/>
    <w:rsid w:val="00D364AF"/>
    <w:rsid w:val="00D369AE"/>
    <w:rsid w:val="00D36C75"/>
    <w:rsid w:val="00D430C7"/>
    <w:rsid w:val="00D43597"/>
    <w:rsid w:val="00D442A7"/>
    <w:rsid w:val="00D44E7F"/>
    <w:rsid w:val="00D455E0"/>
    <w:rsid w:val="00D45E0F"/>
    <w:rsid w:val="00D47054"/>
    <w:rsid w:val="00D47727"/>
    <w:rsid w:val="00D503DF"/>
    <w:rsid w:val="00D50FD6"/>
    <w:rsid w:val="00D51356"/>
    <w:rsid w:val="00D5543E"/>
    <w:rsid w:val="00D56965"/>
    <w:rsid w:val="00D578FB"/>
    <w:rsid w:val="00D57D49"/>
    <w:rsid w:val="00D6003A"/>
    <w:rsid w:val="00D626D1"/>
    <w:rsid w:val="00D631FE"/>
    <w:rsid w:val="00D66BC1"/>
    <w:rsid w:val="00D66C85"/>
    <w:rsid w:val="00D70145"/>
    <w:rsid w:val="00D701FE"/>
    <w:rsid w:val="00D729BA"/>
    <w:rsid w:val="00D75BCC"/>
    <w:rsid w:val="00D75CC8"/>
    <w:rsid w:val="00D75D7D"/>
    <w:rsid w:val="00D77A9E"/>
    <w:rsid w:val="00D8203C"/>
    <w:rsid w:val="00D82600"/>
    <w:rsid w:val="00D846AC"/>
    <w:rsid w:val="00D84B04"/>
    <w:rsid w:val="00D85527"/>
    <w:rsid w:val="00D85E71"/>
    <w:rsid w:val="00D85F44"/>
    <w:rsid w:val="00D9026B"/>
    <w:rsid w:val="00D90CD7"/>
    <w:rsid w:val="00D91375"/>
    <w:rsid w:val="00D91A60"/>
    <w:rsid w:val="00D929F1"/>
    <w:rsid w:val="00D92CEA"/>
    <w:rsid w:val="00D95171"/>
    <w:rsid w:val="00D95D57"/>
    <w:rsid w:val="00D9796F"/>
    <w:rsid w:val="00D97FBE"/>
    <w:rsid w:val="00DA3158"/>
    <w:rsid w:val="00DA3275"/>
    <w:rsid w:val="00DA4459"/>
    <w:rsid w:val="00DA46C0"/>
    <w:rsid w:val="00DA54F7"/>
    <w:rsid w:val="00DA5839"/>
    <w:rsid w:val="00DA5A46"/>
    <w:rsid w:val="00DA6847"/>
    <w:rsid w:val="00DA6EF6"/>
    <w:rsid w:val="00DB1158"/>
    <w:rsid w:val="00DB49A4"/>
    <w:rsid w:val="00DB5D40"/>
    <w:rsid w:val="00DB777C"/>
    <w:rsid w:val="00DC11E3"/>
    <w:rsid w:val="00DC2D73"/>
    <w:rsid w:val="00DC2F33"/>
    <w:rsid w:val="00DC2F5B"/>
    <w:rsid w:val="00DC399B"/>
    <w:rsid w:val="00DC5CDD"/>
    <w:rsid w:val="00DC680A"/>
    <w:rsid w:val="00DC6EAE"/>
    <w:rsid w:val="00DD1C6B"/>
    <w:rsid w:val="00DD264D"/>
    <w:rsid w:val="00DD30F6"/>
    <w:rsid w:val="00DD3566"/>
    <w:rsid w:val="00DD3DDF"/>
    <w:rsid w:val="00DD3F90"/>
    <w:rsid w:val="00DD4BCE"/>
    <w:rsid w:val="00DD5265"/>
    <w:rsid w:val="00DD6E91"/>
    <w:rsid w:val="00DE014E"/>
    <w:rsid w:val="00DE2473"/>
    <w:rsid w:val="00DE2D4F"/>
    <w:rsid w:val="00DE3598"/>
    <w:rsid w:val="00DF2271"/>
    <w:rsid w:val="00DF234B"/>
    <w:rsid w:val="00DF248E"/>
    <w:rsid w:val="00DF40A0"/>
    <w:rsid w:val="00DF4DFC"/>
    <w:rsid w:val="00DF5EEA"/>
    <w:rsid w:val="00DF60E5"/>
    <w:rsid w:val="00DF7D42"/>
    <w:rsid w:val="00E00B92"/>
    <w:rsid w:val="00E0139A"/>
    <w:rsid w:val="00E02AE5"/>
    <w:rsid w:val="00E03613"/>
    <w:rsid w:val="00E037CD"/>
    <w:rsid w:val="00E0470A"/>
    <w:rsid w:val="00E062B2"/>
    <w:rsid w:val="00E123F0"/>
    <w:rsid w:val="00E124DF"/>
    <w:rsid w:val="00E124EA"/>
    <w:rsid w:val="00E13706"/>
    <w:rsid w:val="00E139AB"/>
    <w:rsid w:val="00E14187"/>
    <w:rsid w:val="00E14B16"/>
    <w:rsid w:val="00E17664"/>
    <w:rsid w:val="00E17EC2"/>
    <w:rsid w:val="00E20029"/>
    <w:rsid w:val="00E20946"/>
    <w:rsid w:val="00E20EF7"/>
    <w:rsid w:val="00E21C14"/>
    <w:rsid w:val="00E21C7A"/>
    <w:rsid w:val="00E259D7"/>
    <w:rsid w:val="00E263C3"/>
    <w:rsid w:val="00E26C43"/>
    <w:rsid w:val="00E27DF4"/>
    <w:rsid w:val="00E31943"/>
    <w:rsid w:val="00E319A9"/>
    <w:rsid w:val="00E32CF3"/>
    <w:rsid w:val="00E342B6"/>
    <w:rsid w:val="00E40EA3"/>
    <w:rsid w:val="00E41BB6"/>
    <w:rsid w:val="00E42A6D"/>
    <w:rsid w:val="00E42CBD"/>
    <w:rsid w:val="00E43610"/>
    <w:rsid w:val="00E45D6A"/>
    <w:rsid w:val="00E46233"/>
    <w:rsid w:val="00E466F7"/>
    <w:rsid w:val="00E468A7"/>
    <w:rsid w:val="00E475E6"/>
    <w:rsid w:val="00E47806"/>
    <w:rsid w:val="00E5096A"/>
    <w:rsid w:val="00E51772"/>
    <w:rsid w:val="00E51B72"/>
    <w:rsid w:val="00E52B6B"/>
    <w:rsid w:val="00E53362"/>
    <w:rsid w:val="00E537F6"/>
    <w:rsid w:val="00E53A56"/>
    <w:rsid w:val="00E53F8A"/>
    <w:rsid w:val="00E56ECD"/>
    <w:rsid w:val="00E57E08"/>
    <w:rsid w:val="00E60617"/>
    <w:rsid w:val="00E60872"/>
    <w:rsid w:val="00E60EA3"/>
    <w:rsid w:val="00E617D6"/>
    <w:rsid w:val="00E61B97"/>
    <w:rsid w:val="00E61FDA"/>
    <w:rsid w:val="00E62466"/>
    <w:rsid w:val="00E63D25"/>
    <w:rsid w:val="00E63D7A"/>
    <w:rsid w:val="00E63E3B"/>
    <w:rsid w:val="00E64463"/>
    <w:rsid w:val="00E67848"/>
    <w:rsid w:val="00E719F2"/>
    <w:rsid w:val="00E71DF6"/>
    <w:rsid w:val="00E7238B"/>
    <w:rsid w:val="00E727BD"/>
    <w:rsid w:val="00E72848"/>
    <w:rsid w:val="00E73AFE"/>
    <w:rsid w:val="00E748D5"/>
    <w:rsid w:val="00E758D6"/>
    <w:rsid w:val="00E77618"/>
    <w:rsid w:val="00E80CCE"/>
    <w:rsid w:val="00E80DEC"/>
    <w:rsid w:val="00E83804"/>
    <w:rsid w:val="00E83CFB"/>
    <w:rsid w:val="00E84BF5"/>
    <w:rsid w:val="00E8618B"/>
    <w:rsid w:val="00E87594"/>
    <w:rsid w:val="00E90BA9"/>
    <w:rsid w:val="00E93339"/>
    <w:rsid w:val="00E938DF"/>
    <w:rsid w:val="00E93ABA"/>
    <w:rsid w:val="00E942A1"/>
    <w:rsid w:val="00E958AE"/>
    <w:rsid w:val="00E962B9"/>
    <w:rsid w:val="00E96625"/>
    <w:rsid w:val="00EA09B0"/>
    <w:rsid w:val="00EA2186"/>
    <w:rsid w:val="00EA2572"/>
    <w:rsid w:val="00EA2922"/>
    <w:rsid w:val="00EA303F"/>
    <w:rsid w:val="00EA4589"/>
    <w:rsid w:val="00EA4A0F"/>
    <w:rsid w:val="00EB0599"/>
    <w:rsid w:val="00EB081E"/>
    <w:rsid w:val="00EB2831"/>
    <w:rsid w:val="00EB28BD"/>
    <w:rsid w:val="00EB4281"/>
    <w:rsid w:val="00EB58E6"/>
    <w:rsid w:val="00EB60F1"/>
    <w:rsid w:val="00EB68E2"/>
    <w:rsid w:val="00EC0FDC"/>
    <w:rsid w:val="00EC1B8E"/>
    <w:rsid w:val="00EC1D8E"/>
    <w:rsid w:val="00EC5A7A"/>
    <w:rsid w:val="00EC5D85"/>
    <w:rsid w:val="00ED07D6"/>
    <w:rsid w:val="00ED1224"/>
    <w:rsid w:val="00ED162F"/>
    <w:rsid w:val="00ED1878"/>
    <w:rsid w:val="00ED3CD6"/>
    <w:rsid w:val="00ED4F20"/>
    <w:rsid w:val="00ED6D96"/>
    <w:rsid w:val="00EE05D3"/>
    <w:rsid w:val="00EE0866"/>
    <w:rsid w:val="00EE148D"/>
    <w:rsid w:val="00EE21B1"/>
    <w:rsid w:val="00EE22C9"/>
    <w:rsid w:val="00EE3580"/>
    <w:rsid w:val="00EE37AC"/>
    <w:rsid w:val="00EE39C8"/>
    <w:rsid w:val="00EE3B09"/>
    <w:rsid w:val="00EE3C94"/>
    <w:rsid w:val="00EE4660"/>
    <w:rsid w:val="00EE47B7"/>
    <w:rsid w:val="00EE4985"/>
    <w:rsid w:val="00EE52D2"/>
    <w:rsid w:val="00EE62AC"/>
    <w:rsid w:val="00EE6C3D"/>
    <w:rsid w:val="00EF02F0"/>
    <w:rsid w:val="00EF13CF"/>
    <w:rsid w:val="00EF1CEA"/>
    <w:rsid w:val="00EF302A"/>
    <w:rsid w:val="00F00437"/>
    <w:rsid w:val="00F0181B"/>
    <w:rsid w:val="00F02038"/>
    <w:rsid w:val="00F0214B"/>
    <w:rsid w:val="00F03AC1"/>
    <w:rsid w:val="00F04411"/>
    <w:rsid w:val="00F05441"/>
    <w:rsid w:val="00F059CA"/>
    <w:rsid w:val="00F0740D"/>
    <w:rsid w:val="00F078F9"/>
    <w:rsid w:val="00F07B19"/>
    <w:rsid w:val="00F07F3B"/>
    <w:rsid w:val="00F10642"/>
    <w:rsid w:val="00F1121E"/>
    <w:rsid w:val="00F11B63"/>
    <w:rsid w:val="00F1445D"/>
    <w:rsid w:val="00F14649"/>
    <w:rsid w:val="00F15315"/>
    <w:rsid w:val="00F15CD2"/>
    <w:rsid w:val="00F16269"/>
    <w:rsid w:val="00F16A4D"/>
    <w:rsid w:val="00F17841"/>
    <w:rsid w:val="00F17AD3"/>
    <w:rsid w:val="00F17FA4"/>
    <w:rsid w:val="00F2124B"/>
    <w:rsid w:val="00F24570"/>
    <w:rsid w:val="00F24F6A"/>
    <w:rsid w:val="00F2629F"/>
    <w:rsid w:val="00F27760"/>
    <w:rsid w:val="00F305BA"/>
    <w:rsid w:val="00F32BF8"/>
    <w:rsid w:val="00F34BF1"/>
    <w:rsid w:val="00F34DAE"/>
    <w:rsid w:val="00F37947"/>
    <w:rsid w:val="00F40594"/>
    <w:rsid w:val="00F41638"/>
    <w:rsid w:val="00F416C6"/>
    <w:rsid w:val="00F421A0"/>
    <w:rsid w:val="00F43632"/>
    <w:rsid w:val="00F436B2"/>
    <w:rsid w:val="00F43B53"/>
    <w:rsid w:val="00F44120"/>
    <w:rsid w:val="00F44259"/>
    <w:rsid w:val="00F46354"/>
    <w:rsid w:val="00F47E9B"/>
    <w:rsid w:val="00F503F0"/>
    <w:rsid w:val="00F51DEC"/>
    <w:rsid w:val="00F5332A"/>
    <w:rsid w:val="00F53FA0"/>
    <w:rsid w:val="00F543F8"/>
    <w:rsid w:val="00F552C8"/>
    <w:rsid w:val="00F55A4B"/>
    <w:rsid w:val="00F55C06"/>
    <w:rsid w:val="00F5779B"/>
    <w:rsid w:val="00F60DE2"/>
    <w:rsid w:val="00F61DE8"/>
    <w:rsid w:val="00F622A9"/>
    <w:rsid w:val="00F62999"/>
    <w:rsid w:val="00F63F4B"/>
    <w:rsid w:val="00F646F4"/>
    <w:rsid w:val="00F6503F"/>
    <w:rsid w:val="00F65BE2"/>
    <w:rsid w:val="00F65C84"/>
    <w:rsid w:val="00F66539"/>
    <w:rsid w:val="00F66772"/>
    <w:rsid w:val="00F66773"/>
    <w:rsid w:val="00F66A8D"/>
    <w:rsid w:val="00F67B83"/>
    <w:rsid w:val="00F72137"/>
    <w:rsid w:val="00F72B04"/>
    <w:rsid w:val="00F72D41"/>
    <w:rsid w:val="00F731A6"/>
    <w:rsid w:val="00F74AA3"/>
    <w:rsid w:val="00F76033"/>
    <w:rsid w:val="00F76328"/>
    <w:rsid w:val="00F80CF1"/>
    <w:rsid w:val="00F82D52"/>
    <w:rsid w:val="00F82F42"/>
    <w:rsid w:val="00F8446E"/>
    <w:rsid w:val="00F86195"/>
    <w:rsid w:val="00F868DE"/>
    <w:rsid w:val="00F90B0E"/>
    <w:rsid w:val="00F91371"/>
    <w:rsid w:val="00F9191F"/>
    <w:rsid w:val="00F9205A"/>
    <w:rsid w:val="00F9229A"/>
    <w:rsid w:val="00F9253A"/>
    <w:rsid w:val="00F92D1F"/>
    <w:rsid w:val="00F92F96"/>
    <w:rsid w:val="00F95672"/>
    <w:rsid w:val="00F95F86"/>
    <w:rsid w:val="00F97F2A"/>
    <w:rsid w:val="00F97F8B"/>
    <w:rsid w:val="00FA1494"/>
    <w:rsid w:val="00FA27AA"/>
    <w:rsid w:val="00FA2E15"/>
    <w:rsid w:val="00FA2E66"/>
    <w:rsid w:val="00FA52AD"/>
    <w:rsid w:val="00FA5EFA"/>
    <w:rsid w:val="00FA6FC4"/>
    <w:rsid w:val="00FA7A56"/>
    <w:rsid w:val="00FB0014"/>
    <w:rsid w:val="00FB0B9C"/>
    <w:rsid w:val="00FB0DE7"/>
    <w:rsid w:val="00FB1D80"/>
    <w:rsid w:val="00FB3A78"/>
    <w:rsid w:val="00FB3BFB"/>
    <w:rsid w:val="00FB719B"/>
    <w:rsid w:val="00FB7F7F"/>
    <w:rsid w:val="00FC18EB"/>
    <w:rsid w:val="00FC1A0A"/>
    <w:rsid w:val="00FC1B1E"/>
    <w:rsid w:val="00FC2BEE"/>
    <w:rsid w:val="00FC2DB6"/>
    <w:rsid w:val="00FC4D79"/>
    <w:rsid w:val="00FC5A7A"/>
    <w:rsid w:val="00FD02E3"/>
    <w:rsid w:val="00FD124B"/>
    <w:rsid w:val="00FD15BF"/>
    <w:rsid w:val="00FD21C0"/>
    <w:rsid w:val="00FD25D0"/>
    <w:rsid w:val="00FD272C"/>
    <w:rsid w:val="00FD358C"/>
    <w:rsid w:val="00FD379D"/>
    <w:rsid w:val="00FD5F68"/>
    <w:rsid w:val="00FD7A3F"/>
    <w:rsid w:val="00FD7D18"/>
    <w:rsid w:val="00FE1612"/>
    <w:rsid w:val="00FE44DB"/>
    <w:rsid w:val="00FE5529"/>
    <w:rsid w:val="00FE66A7"/>
    <w:rsid w:val="00FE6DBC"/>
    <w:rsid w:val="00FF14EB"/>
    <w:rsid w:val="00FF14F6"/>
    <w:rsid w:val="00FF1A42"/>
    <w:rsid w:val="00FF1E79"/>
    <w:rsid w:val="00FF3480"/>
    <w:rsid w:val="00FF4198"/>
    <w:rsid w:val="00FF53A5"/>
    <w:rsid w:val="00FF5CAB"/>
    <w:rsid w:val="00FF622E"/>
    <w:rsid w:val="00FF6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E863DE-7CE2-4414-8554-06AA11C7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15516"/>
    <w:rPr>
      <w:sz w:val="20"/>
      <w:szCs w:val="20"/>
    </w:rPr>
  </w:style>
  <w:style w:type="character" w:customStyle="1" w:styleId="FootnoteTextChar">
    <w:name w:val="Footnote Text Char"/>
    <w:basedOn w:val="DefaultParagraphFont"/>
    <w:link w:val="FootnoteText"/>
    <w:uiPriority w:val="99"/>
    <w:semiHidden/>
    <w:rsid w:val="00615516"/>
    <w:rPr>
      <w:sz w:val="20"/>
      <w:szCs w:val="20"/>
    </w:rPr>
  </w:style>
  <w:style w:type="character" w:styleId="FootnoteReference">
    <w:name w:val="footnote reference"/>
    <w:basedOn w:val="DefaultParagraphFont"/>
    <w:uiPriority w:val="99"/>
    <w:semiHidden/>
    <w:unhideWhenUsed/>
    <w:rsid w:val="00615516"/>
    <w:rPr>
      <w:vertAlign w:val="superscript"/>
    </w:rPr>
  </w:style>
  <w:style w:type="paragraph" w:styleId="Header">
    <w:name w:val="header"/>
    <w:basedOn w:val="Normal"/>
    <w:link w:val="HeaderChar"/>
    <w:uiPriority w:val="99"/>
    <w:unhideWhenUsed/>
    <w:rsid w:val="00BB2ADB"/>
    <w:pPr>
      <w:tabs>
        <w:tab w:val="center" w:pos="4680"/>
        <w:tab w:val="right" w:pos="9360"/>
      </w:tabs>
    </w:pPr>
  </w:style>
  <w:style w:type="character" w:customStyle="1" w:styleId="HeaderChar">
    <w:name w:val="Header Char"/>
    <w:basedOn w:val="DefaultParagraphFont"/>
    <w:link w:val="Header"/>
    <w:uiPriority w:val="99"/>
    <w:rsid w:val="00BB2ADB"/>
  </w:style>
  <w:style w:type="paragraph" w:styleId="Footer">
    <w:name w:val="footer"/>
    <w:basedOn w:val="Normal"/>
    <w:link w:val="FooterChar"/>
    <w:uiPriority w:val="99"/>
    <w:unhideWhenUsed/>
    <w:rsid w:val="00BB2ADB"/>
    <w:pPr>
      <w:tabs>
        <w:tab w:val="center" w:pos="4680"/>
        <w:tab w:val="right" w:pos="9360"/>
      </w:tabs>
    </w:pPr>
  </w:style>
  <w:style w:type="character" w:customStyle="1" w:styleId="FooterChar">
    <w:name w:val="Footer Char"/>
    <w:basedOn w:val="DefaultParagraphFont"/>
    <w:link w:val="Footer"/>
    <w:uiPriority w:val="99"/>
    <w:rsid w:val="00BB2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064"/>
    <w:rsid w:val="00351064"/>
    <w:rsid w:val="005F5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32AF84D4AF42D594F36056DF6DDD8A">
    <w:name w:val="B032AF84D4AF42D594F36056DF6DDD8A"/>
    <w:rsid w:val="003510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E1E7D-31E8-47DC-8718-2577C9726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3961</TotalTime>
  <Pages>31</Pages>
  <Words>7637</Words>
  <Characters>43532</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51067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Radde-Gallwitz</dc:creator>
  <cp:keywords/>
  <dc:description/>
  <cp:lastModifiedBy>Andrew Radde-Gallwitz</cp:lastModifiedBy>
  <cp:revision>222</cp:revision>
  <dcterms:created xsi:type="dcterms:W3CDTF">2019-10-29T01:36:00Z</dcterms:created>
  <dcterms:modified xsi:type="dcterms:W3CDTF">2019-12-24T17:18:00Z</dcterms:modified>
</cp:coreProperties>
</file>