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DD0FC" w14:textId="77777777" w:rsidR="0027368F" w:rsidRPr="00BA6745" w:rsidRDefault="0027368F" w:rsidP="00E156E9">
      <w:pPr>
        <w:pStyle w:val="ListParagraph"/>
        <w:numPr>
          <w:ilvl w:val="0"/>
          <w:numId w:val="1"/>
        </w:numPr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BA6745">
        <w:rPr>
          <w:rFonts w:ascii="Calibri" w:hAnsi="Calibri"/>
          <w:b/>
          <w:bCs/>
          <w:sz w:val="28"/>
          <w:szCs w:val="28"/>
        </w:rPr>
        <w:t>The End of Roman Britain</w:t>
      </w:r>
    </w:p>
    <w:p w14:paraId="51E735C7" w14:textId="77777777" w:rsidR="0027368F" w:rsidRPr="00BA6745" w:rsidRDefault="0027368F" w:rsidP="00E156E9">
      <w:pPr>
        <w:jc w:val="both"/>
        <w:rPr>
          <w:rFonts w:ascii="Calibri" w:hAnsi="Calibri"/>
        </w:rPr>
      </w:pPr>
    </w:p>
    <w:p w14:paraId="2E06F227" w14:textId="77777777" w:rsidR="0027368F" w:rsidRPr="00BA6745" w:rsidRDefault="0027368F" w:rsidP="00E156E9">
      <w:pPr>
        <w:jc w:val="both"/>
        <w:rPr>
          <w:rFonts w:ascii="Calibri" w:hAnsi="Calibri"/>
        </w:rPr>
      </w:pPr>
      <w:r w:rsidRPr="00BA6745">
        <w:rPr>
          <w:rFonts w:ascii="Calibri" w:hAnsi="Calibri"/>
        </w:rPr>
        <w:t xml:space="preserve">Was Roman civilization already in irreversible decline in Britain before the end of the fourth century? </w:t>
      </w:r>
      <w:r w:rsidRPr="00BA6745">
        <w:rPr>
          <w:rFonts w:ascii="Calibri" w:hAnsi="Calibri"/>
          <w:b/>
        </w:rPr>
        <w:t>OR</w:t>
      </w:r>
    </w:p>
    <w:p w14:paraId="5B849A5B" w14:textId="77777777" w:rsidR="0027368F" w:rsidRPr="00BA6745" w:rsidRDefault="0027368F" w:rsidP="00E156E9">
      <w:pPr>
        <w:jc w:val="both"/>
        <w:rPr>
          <w:rFonts w:ascii="Calibri" w:hAnsi="Calibri"/>
        </w:rPr>
      </w:pPr>
      <w:r w:rsidRPr="00BA6745">
        <w:rPr>
          <w:rFonts w:ascii="Calibri" w:hAnsi="Calibri"/>
        </w:rPr>
        <w:t xml:space="preserve">What survived the end of Roman Britain? </w:t>
      </w:r>
      <w:r w:rsidRPr="00BA6745">
        <w:rPr>
          <w:rFonts w:ascii="Calibri" w:hAnsi="Calibri"/>
          <w:b/>
        </w:rPr>
        <w:t>OR</w:t>
      </w:r>
    </w:p>
    <w:p w14:paraId="09228D3F" w14:textId="4663F2C4" w:rsidR="0027368F" w:rsidRPr="00BA6745" w:rsidRDefault="0027368F" w:rsidP="00E156E9">
      <w:pPr>
        <w:jc w:val="both"/>
        <w:rPr>
          <w:rFonts w:ascii="Calibri" w:hAnsi="Calibri"/>
        </w:rPr>
      </w:pPr>
      <w:r w:rsidRPr="00BA6745">
        <w:rPr>
          <w:rFonts w:ascii="Calibri" w:hAnsi="Calibri"/>
        </w:rPr>
        <w:t xml:space="preserve">How successfully did the </w:t>
      </w:r>
      <w:r w:rsidR="004F6407">
        <w:rPr>
          <w:rFonts w:ascii="Calibri" w:hAnsi="Calibri"/>
        </w:rPr>
        <w:t>people</w:t>
      </w:r>
      <w:bookmarkStart w:id="0" w:name="_GoBack"/>
      <w:bookmarkEnd w:id="0"/>
      <w:r w:rsidRPr="00BA6745">
        <w:rPr>
          <w:rFonts w:ascii="Calibri" w:hAnsi="Calibri"/>
        </w:rPr>
        <w:t>s of England and Wales adapt to the new challenges they faced in the period 400-600?</w:t>
      </w:r>
    </w:p>
    <w:p w14:paraId="0D916ADA" w14:textId="77777777" w:rsidR="0027368F" w:rsidRPr="00BA6745" w:rsidRDefault="0027368F" w:rsidP="00E156E9">
      <w:pPr>
        <w:jc w:val="both"/>
        <w:rPr>
          <w:rFonts w:ascii="Calibri" w:hAnsi="Calibri"/>
        </w:rPr>
      </w:pPr>
    </w:p>
    <w:p w14:paraId="1EBCF32E" w14:textId="77777777" w:rsidR="0027368F" w:rsidRPr="00BA6745" w:rsidRDefault="0027368F" w:rsidP="00E156E9">
      <w:pPr>
        <w:jc w:val="both"/>
        <w:rPr>
          <w:rFonts w:ascii="Calibri" w:hAnsi="Calibri"/>
          <w:b/>
          <w:bCs/>
          <w:sz w:val="22"/>
          <w:szCs w:val="22"/>
        </w:rPr>
      </w:pPr>
      <w:r w:rsidRPr="00BA6745">
        <w:rPr>
          <w:rFonts w:ascii="Calibri" w:hAnsi="Calibri"/>
          <w:b/>
          <w:bCs/>
          <w:sz w:val="22"/>
          <w:szCs w:val="22"/>
        </w:rPr>
        <w:t>Primary sources</w:t>
      </w:r>
    </w:p>
    <w:p w14:paraId="189CCA22" w14:textId="6584AC24" w:rsidR="00712C8F" w:rsidRPr="00BA6745" w:rsidRDefault="003E25A8" w:rsidP="00712C8F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i/>
          <w:sz w:val="22"/>
          <w:szCs w:val="22"/>
        </w:rPr>
        <w:t>[</w:t>
      </w:r>
      <w:r w:rsidR="00712C8F" w:rsidRPr="00BA6745">
        <w:rPr>
          <w:rFonts w:ascii="Calibri" w:hAnsi="Calibri"/>
          <w:i/>
          <w:sz w:val="22"/>
          <w:szCs w:val="22"/>
        </w:rPr>
        <w:t>There are many primary</w:t>
      </w:r>
      <w:r w:rsidR="0074533E" w:rsidRPr="00BA6745">
        <w:rPr>
          <w:rFonts w:ascii="Calibri" w:hAnsi="Calibri"/>
          <w:i/>
          <w:sz w:val="22"/>
          <w:szCs w:val="22"/>
        </w:rPr>
        <w:t xml:space="preserve"> sources</w:t>
      </w:r>
      <w:r w:rsidR="004138DA" w:rsidRPr="00BA6745">
        <w:rPr>
          <w:rFonts w:ascii="Calibri" w:hAnsi="Calibri"/>
          <w:i/>
          <w:sz w:val="22"/>
          <w:szCs w:val="22"/>
        </w:rPr>
        <w:t xml:space="preserve"> relevant</w:t>
      </w:r>
      <w:r w:rsidR="00871160" w:rsidRPr="00BA6745">
        <w:rPr>
          <w:rFonts w:ascii="Calibri" w:hAnsi="Calibri"/>
          <w:i/>
          <w:sz w:val="22"/>
          <w:szCs w:val="22"/>
        </w:rPr>
        <w:t xml:space="preserve"> to this question</w:t>
      </w:r>
      <w:r w:rsidR="00476FED" w:rsidRPr="00BA6745">
        <w:rPr>
          <w:rFonts w:ascii="Calibri" w:hAnsi="Calibri"/>
          <w:i/>
          <w:sz w:val="22"/>
          <w:szCs w:val="22"/>
        </w:rPr>
        <w:t>;</w:t>
      </w:r>
      <w:r w:rsidR="00DB5651" w:rsidRPr="00BA6745">
        <w:rPr>
          <w:rFonts w:ascii="Calibri" w:hAnsi="Calibri"/>
          <w:i/>
          <w:sz w:val="22"/>
          <w:szCs w:val="22"/>
        </w:rPr>
        <w:t xml:space="preserve"> these are the </w:t>
      </w:r>
      <w:r w:rsidR="002B6018" w:rsidRPr="00BA6745">
        <w:rPr>
          <w:rFonts w:ascii="Calibri" w:hAnsi="Calibri"/>
          <w:i/>
          <w:sz w:val="22"/>
          <w:szCs w:val="22"/>
        </w:rPr>
        <w:t xml:space="preserve">ones </w:t>
      </w:r>
      <w:r w:rsidR="00B90D74" w:rsidRPr="00BA6745">
        <w:rPr>
          <w:rFonts w:ascii="Calibri" w:hAnsi="Calibri"/>
          <w:i/>
          <w:sz w:val="22"/>
          <w:szCs w:val="22"/>
        </w:rPr>
        <w:t xml:space="preserve">most helpful for you to </w:t>
      </w:r>
      <w:r w:rsidR="006B4407" w:rsidRPr="00BA6745">
        <w:rPr>
          <w:rFonts w:ascii="Calibri" w:hAnsi="Calibri"/>
          <w:i/>
          <w:sz w:val="22"/>
          <w:szCs w:val="22"/>
        </w:rPr>
        <w:t>look at</w:t>
      </w:r>
      <w:r w:rsidR="00B90D74" w:rsidRPr="00BA6745">
        <w:rPr>
          <w:rFonts w:ascii="Calibri" w:hAnsi="Calibri"/>
          <w:i/>
          <w:sz w:val="22"/>
          <w:szCs w:val="22"/>
        </w:rPr>
        <w:t xml:space="preserve"> </w:t>
      </w:r>
      <w:r w:rsidR="00156F5F" w:rsidRPr="00BA6745">
        <w:rPr>
          <w:rFonts w:ascii="Calibri" w:hAnsi="Calibri"/>
          <w:i/>
          <w:sz w:val="22"/>
          <w:szCs w:val="22"/>
        </w:rPr>
        <w:t xml:space="preserve">so that you can follow </w:t>
      </w:r>
      <w:r w:rsidR="00EA0A0D" w:rsidRPr="00BA6745">
        <w:rPr>
          <w:rFonts w:ascii="Calibri" w:hAnsi="Calibri"/>
          <w:i/>
          <w:sz w:val="22"/>
          <w:szCs w:val="22"/>
        </w:rPr>
        <w:t>the historiographical debates.</w:t>
      </w:r>
      <w:r w:rsidR="00477D3A" w:rsidRPr="00BA6745">
        <w:rPr>
          <w:rFonts w:ascii="Calibri" w:hAnsi="Calibri"/>
          <w:i/>
          <w:sz w:val="22"/>
          <w:szCs w:val="22"/>
        </w:rPr>
        <w:t xml:space="preserve"> Gildas and </w:t>
      </w:r>
      <w:r w:rsidR="00A00793" w:rsidRPr="00BA6745">
        <w:rPr>
          <w:rFonts w:ascii="Calibri" w:hAnsi="Calibri"/>
          <w:i/>
          <w:sz w:val="22"/>
          <w:szCs w:val="22"/>
        </w:rPr>
        <w:t xml:space="preserve">Bede are key to understand </w:t>
      </w:r>
      <w:r w:rsidR="004917A2" w:rsidRPr="00BA6745">
        <w:rPr>
          <w:rFonts w:ascii="Calibri" w:hAnsi="Calibri"/>
          <w:i/>
          <w:sz w:val="22"/>
          <w:szCs w:val="22"/>
        </w:rPr>
        <w:t>the</w:t>
      </w:r>
      <w:r w:rsidR="002627ED" w:rsidRPr="00BA6745">
        <w:rPr>
          <w:rFonts w:ascii="Calibri" w:hAnsi="Calibri"/>
          <w:i/>
          <w:sz w:val="22"/>
          <w:szCs w:val="22"/>
        </w:rPr>
        <w:t xml:space="preserve"> basic</w:t>
      </w:r>
      <w:r w:rsidR="004917A2" w:rsidRPr="00BA6745">
        <w:rPr>
          <w:rFonts w:ascii="Calibri" w:hAnsi="Calibri"/>
          <w:i/>
          <w:sz w:val="22"/>
          <w:szCs w:val="22"/>
        </w:rPr>
        <w:t xml:space="preserve"> </w:t>
      </w:r>
      <w:r w:rsidR="009D06EA" w:rsidRPr="00BA6745">
        <w:rPr>
          <w:rFonts w:ascii="Calibri" w:hAnsi="Calibri"/>
          <w:i/>
          <w:sz w:val="22"/>
          <w:szCs w:val="22"/>
        </w:rPr>
        <w:t xml:space="preserve">chronology </w:t>
      </w:r>
      <w:r w:rsidR="00392428" w:rsidRPr="00BA6745">
        <w:rPr>
          <w:rFonts w:ascii="Calibri" w:hAnsi="Calibri"/>
          <w:i/>
          <w:sz w:val="22"/>
          <w:szCs w:val="22"/>
        </w:rPr>
        <w:t>commonly used</w:t>
      </w:r>
      <w:r w:rsidR="00EF5B01" w:rsidRPr="00BA6745">
        <w:rPr>
          <w:rFonts w:ascii="Calibri" w:hAnsi="Calibri"/>
          <w:i/>
          <w:sz w:val="22"/>
          <w:szCs w:val="22"/>
        </w:rPr>
        <w:t xml:space="preserve"> for</w:t>
      </w:r>
      <w:r w:rsidR="00777F46" w:rsidRPr="00BA6745">
        <w:rPr>
          <w:rFonts w:ascii="Calibri" w:hAnsi="Calibri"/>
          <w:i/>
          <w:sz w:val="22"/>
          <w:szCs w:val="22"/>
        </w:rPr>
        <w:t xml:space="preserve"> the fifth century</w:t>
      </w:r>
      <w:r w:rsidR="00BA2C96" w:rsidRPr="00BA6745">
        <w:rPr>
          <w:rFonts w:ascii="Calibri" w:hAnsi="Calibri"/>
          <w:i/>
          <w:sz w:val="22"/>
          <w:szCs w:val="22"/>
        </w:rPr>
        <w:t xml:space="preserve">—but be sure to </w:t>
      </w:r>
      <w:r w:rsidR="00756079" w:rsidRPr="00BA6745">
        <w:rPr>
          <w:rFonts w:ascii="Calibri" w:hAnsi="Calibri"/>
          <w:i/>
          <w:sz w:val="22"/>
          <w:szCs w:val="22"/>
        </w:rPr>
        <w:t xml:space="preserve">read with </w:t>
      </w:r>
      <w:r w:rsidR="00BB17D5" w:rsidRPr="00BA6745">
        <w:rPr>
          <w:rFonts w:ascii="Calibri" w:hAnsi="Calibri"/>
          <w:i/>
          <w:sz w:val="22"/>
          <w:szCs w:val="22"/>
        </w:rPr>
        <w:t xml:space="preserve">Lapidge and Dumville (for Gildas) and </w:t>
      </w:r>
      <w:r w:rsidR="0073355E" w:rsidRPr="00BA6745">
        <w:rPr>
          <w:rFonts w:ascii="Calibri" w:hAnsi="Calibri"/>
          <w:i/>
          <w:sz w:val="22"/>
          <w:szCs w:val="22"/>
        </w:rPr>
        <w:t xml:space="preserve">Yorke (for Bede). </w:t>
      </w:r>
      <w:r w:rsidR="00DA401D" w:rsidRPr="00BA6745">
        <w:rPr>
          <w:rFonts w:ascii="Calibri" w:hAnsi="Calibri"/>
          <w:i/>
          <w:sz w:val="22"/>
          <w:szCs w:val="22"/>
        </w:rPr>
        <w:t xml:space="preserve">The </w:t>
      </w:r>
      <w:r w:rsidR="00552EED" w:rsidRPr="00BA6745">
        <w:rPr>
          <w:rFonts w:ascii="Calibri" w:hAnsi="Calibri"/>
          <w:i/>
          <w:sz w:val="22"/>
          <w:szCs w:val="22"/>
        </w:rPr>
        <w:t xml:space="preserve">Welsh inscribed stones </w:t>
      </w:r>
      <w:r w:rsidR="00D869B5" w:rsidRPr="00BA6745">
        <w:rPr>
          <w:rFonts w:ascii="Calibri" w:hAnsi="Calibri"/>
          <w:i/>
          <w:sz w:val="22"/>
          <w:szCs w:val="22"/>
        </w:rPr>
        <w:t xml:space="preserve">feature </w:t>
      </w:r>
      <w:r w:rsidR="000C11DC" w:rsidRPr="00BA6745">
        <w:rPr>
          <w:rFonts w:ascii="Calibri" w:hAnsi="Calibri"/>
          <w:i/>
          <w:sz w:val="22"/>
          <w:szCs w:val="22"/>
        </w:rPr>
        <w:t>in any number of accounts</w:t>
      </w:r>
      <w:r w:rsidR="008F5A15" w:rsidRPr="00BA6745">
        <w:rPr>
          <w:rFonts w:ascii="Calibri" w:hAnsi="Calibri"/>
          <w:i/>
          <w:sz w:val="22"/>
          <w:szCs w:val="22"/>
        </w:rPr>
        <w:t xml:space="preserve"> of continuity</w:t>
      </w:r>
      <w:r w:rsidR="00522CFE" w:rsidRPr="00BA6745">
        <w:rPr>
          <w:rFonts w:ascii="Calibri" w:hAnsi="Calibri"/>
          <w:i/>
          <w:sz w:val="22"/>
          <w:szCs w:val="22"/>
        </w:rPr>
        <w:t xml:space="preserve">; think </w:t>
      </w:r>
      <w:r w:rsidR="0092016D" w:rsidRPr="00BA6745">
        <w:rPr>
          <w:rFonts w:ascii="Calibri" w:hAnsi="Calibri"/>
          <w:i/>
          <w:sz w:val="22"/>
          <w:szCs w:val="22"/>
        </w:rPr>
        <w:t>about what they can—and can’t—tell us.</w:t>
      </w:r>
      <w:r w:rsidR="003714AC" w:rsidRPr="00BA6745">
        <w:rPr>
          <w:rFonts w:ascii="Calibri" w:hAnsi="Calibri"/>
          <w:i/>
          <w:sz w:val="22"/>
          <w:szCs w:val="22"/>
        </w:rPr>
        <w:t>]</w:t>
      </w:r>
      <w:r w:rsidR="00640528" w:rsidRPr="00BA6745">
        <w:rPr>
          <w:rFonts w:ascii="Calibri" w:hAnsi="Calibri"/>
          <w:i/>
          <w:sz w:val="22"/>
          <w:szCs w:val="22"/>
        </w:rPr>
        <w:t xml:space="preserve"> </w:t>
      </w:r>
    </w:p>
    <w:p w14:paraId="51C9F836" w14:textId="2E9D66A9" w:rsidR="0027368F" w:rsidRPr="00BA6745" w:rsidRDefault="0027368F" w:rsidP="00E156E9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>Gildas,</w:t>
      </w:r>
      <w:r w:rsidR="00A4617F" w:rsidRPr="00BA6745">
        <w:rPr>
          <w:rFonts w:ascii="Calibri" w:hAnsi="Calibri"/>
          <w:sz w:val="22"/>
          <w:szCs w:val="22"/>
        </w:rPr>
        <w:t xml:space="preserve"> </w:t>
      </w:r>
      <w:r w:rsidR="00BA024E" w:rsidRPr="00BA6745">
        <w:rPr>
          <w:rFonts w:ascii="Calibri" w:hAnsi="Calibri"/>
          <w:sz w:val="22"/>
          <w:szCs w:val="22"/>
        </w:rPr>
        <w:t>‘The Ruin of Britain’, in</w:t>
      </w:r>
      <w:r w:rsidRPr="00BA6745">
        <w:rPr>
          <w:rFonts w:ascii="Calibri" w:hAnsi="Calibri"/>
          <w:sz w:val="22"/>
          <w:szCs w:val="22"/>
        </w:rPr>
        <w:t xml:space="preserve"> </w:t>
      </w:r>
      <w:r w:rsidRPr="00BA6745">
        <w:rPr>
          <w:rFonts w:ascii="Calibri" w:hAnsi="Calibri"/>
          <w:i/>
          <w:iCs/>
          <w:sz w:val="22"/>
          <w:szCs w:val="22"/>
        </w:rPr>
        <w:t>The Ruin of Britain and other documents</w:t>
      </w:r>
      <w:r w:rsidRPr="00BA6745">
        <w:rPr>
          <w:rFonts w:ascii="Calibri" w:hAnsi="Calibri"/>
          <w:sz w:val="22"/>
          <w:szCs w:val="22"/>
        </w:rPr>
        <w:t xml:space="preserve">, ed. and tr. M. Winterbottom </w:t>
      </w:r>
      <w:r w:rsidR="00FC6C74" w:rsidRPr="00BA6745">
        <w:rPr>
          <w:rFonts w:ascii="Calibri" w:hAnsi="Calibri"/>
          <w:sz w:val="22"/>
          <w:szCs w:val="22"/>
        </w:rPr>
        <w:t>(London, 1978), esp. chs 1-26.</w:t>
      </w:r>
    </w:p>
    <w:p w14:paraId="08B73368" w14:textId="0AEB580C" w:rsidR="002F0CA0" w:rsidRPr="00BA6745" w:rsidRDefault="002F0CA0" w:rsidP="00E156E9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 xml:space="preserve">Bede, </w:t>
      </w:r>
      <w:r w:rsidRPr="00BA6745">
        <w:rPr>
          <w:rFonts w:ascii="Calibri" w:hAnsi="Calibri"/>
          <w:i/>
          <w:sz w:val="22"/>
          <w:szCs w:val="22"/>
        </w:rPr>
        <w:t>Ecclesiastical History</w:t>
      </w:r>
      <w:r w:rsidRPr="00BA6745">
        <w:rPr>
          <w:rFonts w:ascii="Calibri" w:hAnsi="Calibri"/>
          <w:sz w:val="22"/>
          <w:szCs w:val="22"/>
        </w:rPr>
        <w:t>,</w:t>
      </w:r>
      <w:r w:rsidR="00A658CB" w:rsidRPr="00BA6745">
        <w:rPr>
          <w:rFonts w:ascii="Calibri" w:hAnsi="Calibri"/>
          <w:sz w:val="22"/>
          <w:szCs w:val="22"/>
        </w:rPr>
        <w:t xml:space="preserve"> trans. </w:t>
      </w:r>
      <w:r w:rsidR="00FC097F" w:rsidRPr="00BA6745">
        <w:rPr>
          <w:rFonts w:ascii="Calibri" w:hAnsi="Calibri"/>
          <w:sz w:val="22"/>
          <w:szCs w:val="22"/>
        </w:rPr>
        <w:t>R. Collins and J. McClure,</w:t>
      </w:r>
      <w:r w:rsidRPr="00BA6745">
        <w:rPr>
          <w:rFonts w:ascii="Calibri" w:hAnsi="Calibri"/>
          <w:sz w:val="22"/>
          <w:szCs w:val="22"/>
        </w:rPr>
        <w:t xml:space="preserve"> </w:t>
      </w:r>
      <w:r w:rsidR="00D17882" w:rsidRPr="00BA6745">
        <w:rPr>
          <w:rFonts w:ascii="Calibri" w:hAnsi="Calibri"/>
          <w:sz w:val="22"/>
          <w:szCs w:val="22"/>
        </w:rPr>
        <w:t xml:space="preserve">Book I, </w:t>
      </w:r>
      <w:r w:rsidR="00B86C8C" w:rsidRPr="00BA6745">
        <w:rPr>
          <w:rFonts w:ascii="Calibri" w:hAnsi="Calibri"/>
          <w:sz w:val="22"/>
          <w:szCs w:val="22"/>
        </w:rPr>
        <w:t xml:space="preserve">chs </w:t>
      </w:r>
      <w:r w:rsidR="00100BB3" w:rsidRPr="00BA6745">
        <w:rPr>
          <w:rFonts w:ascii="Calibri" w:hAnsi="Calibri"/>
          <w:sz w:val="22"/>
          <w:szCs w:val="22"/>
        </w:rPr>
        <w:t>1-22.</w:t>
      </w:r>
    </w:p>
    <w:p w14:paraId="279CBB43" w14:textId="2ABBCE1C" w:rsidR="0027368F" w:rsidRPr="00BA6745" w:rsidRDefault="0027368F" w:rsidP="00E156E9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 xml:space="preserve">V.E. Nash-Williams, </w:t>
      </w:r>
      <w:r w:rsidRPr="00BA6745">
        <w:rPr>
          <w:rFonts w:ascii="Calibri" w:hAnsi="Calibri"/>
          <w:i/>
          <w:sz w:val="22"/>
          <w:szCs w:val="22"/>
        </w:rPr>
        <w:t>Early Christian monuments of Wales</w:t>
      </w:r>
      <w:r w:rsidRPr="00BA6745">
        <w:rPr>
          <w:rFonts w:ascii="Calibri" w:hAnsi="Calibri"/>
          <w:sz w:val="22"/>
          <w:szCs w:val="22"/>
        </w:rPr>
        <w:t xml:space="preserve"> (1950), pp. 3-16 and plates I-XV (Group I)</w:t>
      </w:r>
      <w:r w:rsidR="00152EC4" w:rsidRPr="00BA6745">
        <w:rPr>
          <w:rFonts w:ascii="Calibri" w:hAnsi="Calibri"/>
          <w:sz w:val="22"/>
          <w:szCs w:val="22"/>
        </w:rPr>
        <w:t>.</w:t>
      </w:r>
    </w:p>
    <w:p w14:paraId="53705B4D" w14:textId="77777777" w:rsidR="0027368F" w:rsidRPr="00BA6745" w:rsidRDefault="0027368F" w:rsidP="00E156E9">
      <w:pPr>
        <w:jc w:val="both"/>
        <w:rPr>
          <w:rFonts w:ascii="Calibri" w:hAnsi="Calibri"/>
          <w:sz w:val="22"/>
          <w:szCs w:val="22"/>
        </w:rPr>
      </w:pPr>
    </w:p>
    <w:p w14:paraId="63B2FE20" w14:textId="51E98237" w:rsidR="00CE5BF8" w:rsidRPr="00BA6745" w:rsidRDefault="008D2894" w:rsidP="00CE5BF8">
      <w:pPr>
        <w:jc w:val="both"/>
        <w:rPr>
          <w:rFonts w:ascii="Calibri" w:hAnsi="Calibri"/>
          <w:b/>
          <w:bCs/>
          <w:sz w:val="22"/>
          <w:szCs w:val="22"/>
        </w:rPr>
      </w:pPr>
      <w:r w:rsidRPr="00BA6745">
        <w:rPr>
          <w:rFonts w:ascii="Calibri" w:hAnsi="Calibri"/>
          <w:b/>
          <w:bCs/>
          <w:sz w:val="22"/>
          <w:szCs w:val="22"/>
        </w:rPr>
        <w:t>Studies of these texts</w:t>
      </w:r>
    </w:p>
    <w:p w14:paraId="64CC0F6D" w14:textId="29337115" w:rsidR="00CE5BF8" w:rsidRPr="00BA6745" w:rsidRDefault="00CE5BF8" w:rsidP="00CE5BF8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 xml:space="preserve">D.N. Dumville, ‘Sub-Roman Britain: History and Legend’, </w:t>
      </w:r>
      <w:r w:rsidRPr="00BA6745">
        <w:rPr>
          <w:rFonts w:ascii="Calibri" w:hAnsi="Calibri"/>
          <w:i/>
          <w:iCs/>
          <w:sz w:val="22"/>
          <w:szCs w:val="22"/>
        </w:rPr>
        <w:t>History</w:t>
      </w:r>
      <w:r w:rsidRPr="00BA6745">
        <w:rPr>
          <w:rFonts w:ascii="Calibri" w:hAnsi="Calibri"/>
          <w:sz w:val="22"/>
          <w:szCs w:val="22"/>
        </w:rPr>
        <w:t xml:space="preserve"> 62 (1977). </w:t>
      </w:r>
    </w:p>
    <w:p w14:paraId="5DFA6B87" w14:textId="580A17AB" w:rsidR="00CE5BF8" w:rsidRPr="00BA6745" w:rsidRDefault="00BB0DC1" w:rsidP="00E156E9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>*</w:t>
      </w:r>
      <w:r w:rsidR="00CE5BF8" w:rsidRPr="00BA6745">
        <w:rPr>
          <w:rFonts w:ascii="Calibri" w:hAnsi="Calibri"/>
          <w:sz w:val="22"/>
          <w:szCs w:val="22"/>
        </w:rPr>
        <w:t xml:space="preserve">M. Lapidge and D.N. Dumville (eds.), </w:t>
      </w:r>
      <w:r w:rsidR="00CE5BF8" w:rsidRPr="00BA6745">
        <w:rPr>
          <w:rFonts w:ascii="Calibri" w:hAnsi="Calibri"/>
          <w:i/>
          <w:iCs/>
          <w:sz w:val="22"/>
          <w:szCs w:val="22"/>
        </w:rPr>
        <w:t>Gildas: New Approaches</w:t>
      </w:r>
      <w:r w:rsidR="00CE5BF8" w:rsidRPr="00BA6745">
        <w:rPr>
          <w:rFonts w:ascii="Calibri" w:hAnsi="Calibri"/>
          <w:sz w:val="22"/>
          <w:szCs w:val="22"/>
        </w:rPr>
        <w:t xml:space="preserve"> (Woodbridge, 1984), chs 1-4.</w:t>
      </w:r>
    </w:p>
    <w:p w14:paraId="718F702C" w14:textId="77777777" w:rsidR="00C8235A" w:rsidRPr="00BA6745" w:rsidRDefault="00C8235A" w:rsidP="00C8235A">
      <w:pPr>
        <w:widowControl w:val="0"/>
        <w:autoSpaceDE w:val="0"/>
        <w:autoSpaceDN w:val="0"/>
        <w:adjustRightInd w:val="0"/>
        <w:rPr>
          <w:rFonts w:ascii="Calibri" w:eastAsiaTheme="minorEastAsia" w:hAnsi="Calibri"/>
          <w:sz w:val="22"/>
          <w:szCs w:val="22"/>
          <w:lang w:val="en-US" w:eastAsia="en-US" w:bidi="ar-SA"/>
        </w:rPr>
      </w:pPr>
      <w:r w:rsidRPr="00BA6745">
        <w:rPr>
          <w:rFonts w:ascii="Calibri" w:eastAsiaTheme="minorEastAsia" w:hAnsi="Calibri"/>
          <w:sz w:val="22"/>
          <w:szCs w:val="22"/>
          <w:lang w:val="en-US" w:eastAsia="en-US" w:bidi="ar-SA"/>
        </w:rPr>
        <w:t>B. Yorke, ‘Fact or fiction? The written evidence for the fifth and sixth centuries AD’,</w:t>
      </w:r>
    </w:p>
    <w:p w14:paraId="700FC61A" w14:textId="17FD1DBD" w:rsidR="00932F1C" w:rsidRPr="00BA6745" w:rsidRDefault="00C8235A" w:rsidP="00C8235A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eastAsiaTheme="minorEastAsia" w:hAnsi="Calibri"/>
          <w:i/>
          <w:sz w:val="22"/>
          <w:szCs w:val="22"/>
          <w:lang w:val="en-US" w:eastAsia="en-US" w:bidi="ar-SA"/>
        </w:rPr>
        <w:t>Anglo-Saxon Studies in Archaeology and History</w:t>
      </w:r>
      <w:r w:rsidRPr="00BA6745">
        <w:rPr>
          <w:rFonts w:ascii="Calibri" w:eastAsiaTheme="minorEastAsia" w:hAnsi="Calibri"/>
          <w:sz w:val="22"/>
          <w:szCs w:val="22"/>
          <w:lang w:val="en-US" w:eastAsia="en-US" w:bidi="ar-SA"/>
        </w:rPr>
        <w:t xml:space="preserve"> 6 (1993), 45–50</w:t>
      </w:r>
      <w:r w:rsidR="001C7CB2" w:rsidRPr="00BA6745">
        <w:rPr>
          <w:rFonts w:ascii="Calibri" w:eastAsiaTheme="minorEastAsia" w:hAnsi="Calibri"/>
          <w:sz w:val="22"/>
          <w:szCs w:val="22"/>
          <w:lang w:val="en-US" w:eastAsia="en-US" w:bidi="ar-SA"/>
        </w:rPr>
        <w:t>.</w:t>
      </w:r>
    </w:p>
    <w:p w14:paraId="6AFC14B3" w14:textId="77777777" w:rsidR="00CE5BF8" w:rsidRPr="00BA6745" w:rsidRDefault="00CE5BF8" w:rsidP="00E156E9">
      <w:pPr>
        <w:jc w:val="both"/>
        <w:rPr>
          <w:rFonts w:ascii="Calibri" w:hAnsi="Calibri"/>
          <w:sz w:val="22"/>
          <w:szCs w:val="22"/>
        </w:rPr>
      </w:pPr>
    </w:p>
    <w:p w14:paraId="186B8911" w14:textId="34B73D46" w:rsidR="0027368F" w:rsidRPr="00BA6745" w:rsidRDefault="000327A6" w:rsidP="00E156E9">
      <w:pPr>
        <w:jc w:val="both"/>
        <w:rPr>
          <w:rFonts w:ascii="Calibri" w:hAnsi="Calibri"/>
          <w:b/>
          <w:bCs/>
          <w:sz w:val="22"/>
          <w:szCs w:val="22"/>
        </w:rPr>
      </w:pPr>
      <w:r w:rsidRPr="00BA6745">
        <w:rPr>
          <w:rFonts w:ascii="Calibri" w:hAnsi="Calibri"/>
          <w:b/>
          <w:bCs/>
          <w:sz w:val="22"/>
          <w:szCs w:val="22"/>
        </w:rPr>
        <w:t>Synthetic</w:t>
      </w:r>
      <w:r w:rsidR="00C30508" w:rsidRPr="00BA6745">
        <w:rPr>
          <w:rFonts w:ascii="Calibri" w:hAnsi="Calibri"/>
          <w:b/>
          <w:bCs/>
          <w:sz w:val="22"/>
          <w:szCs w:val="22"/>
        </w:rPr>
        <w:t xml:space="preserve"> Archaeological</w:t>
      </w:r>
      <w:r w:rsidRPr="00BA6745">
        <w:rPr>
          <w:rFonts w:ascii="Calibri" w:hAnsi="Calibri"/>
          <w:b/>
          <w:bCs/>
          <w:sz w:val="22"/>
          <w:szCs w:val="22"/>
        </w:rPr>
        <w:t xml:space="preserve"> Accounts</w:t>
      </w:r>
    </w:p>
    <w:p w14:paraId="30C396F4" w14:textId="07D4E421" w:rsidR="00B17134" w:rsidRPr="00BA6745" w:rsidRDefault="00E0716F" w:rsidP="00E156E9">
      <w:pPr>
        <w:jc w:val="both"/>
        <w:rPr>
          <w:rFonts w:ascii="Calibri" w:hAnsi="Calibri"/>
          <w:i/>
          <w:sz w:val="22"/>
          <w:szCs w:val="22"/>
        </w:rPr>
      </w:pPr>
      <w:r w:rsidRPr="00BA6745">
        <w:rPr>
          <w:rFonts w:ascii="Calibri" w:hAnsi="Calibri"/>
          <w:i/>
          <w:sz w:val="22"/>
          <w:szCs w:val="22"/>
        </w:rPr>
        <w:t>[</w:t>
      </w:r>
      <w:r w:rsidR="00426B2B" w:rsidRPr="00BA6745">
        <w:rPr>
          <w:rFonts w:ascii="Calibri" w:hAnsi="Calibri"/>
          <w:i/>
          <w:sz w:val="22"/>
          <w:szCs w:val="22"/>
        </w:rPr>
        <w:t>Our</w:t>
      </w:r>
      <w:r w:rsidRPr="00BA6745">
        <w:rPr>
          <w:rFonts w:ascii="Calibri" w:hAnsi="Calibri"/>
          <w:i/>
          <w:sz w:val="22"/>
          <w:szCs w:val="22"/>
        </w:rPr>
        <w:t xml:space="preserve"> best </w:t>
      </w:r>
      <w:r w:rsidR="008A1947" w:rsidRPr="00BA6745">
        <w:rPr>
          <w:rFonts w:ascii="Calibri" w:hAnsi="Calibri"/>
          <w:i/>
          <w:sz w:val="22"/>
          <w:szCs w:val="22"/>
        </w:rPr>
        <w:t xml:space="preserve">contemporary evidence for the end of Roman </w:t>
      </w:r>
      <w:r w:rsidR="00426B2B" w:rsidRPr="00BA6745">
        <w:rPr>
          <w:rFonts w:ascii="Calibri" w:hAnsi="Calibri"/>
          <w:i/>
          <w:sz w:val="22"/>
          <w:szCs w:val="22"/>
        </w:rPr>
        <w:t xml:space="preserve">Britain, and for </w:t>
      </w:r>
      <w:r w:rsidR="00252454" w:rsidRPr="00BA6745">
        <w:rPr>
          <w:rFonts w:ascii="Calibri" w:hAnsi="Calibri"/>
          <w:i/>
          <w:sz w:val="22"/>
          <w:szCs w:val="22"/>
        </w:rPr>
        <w:t xml:space="preserve">what comes next, </w:t>
      </w:r>
      <w:r w:rsidR="00537B59" w:rsidRPr="00BA6745">
        <w:rPr>
          <w:rFonts w:ascii="Calibri" w:hAnsi="Calibri"/>
          <w:i/>
          <w:sz w:val="22"/>
          <w:szCs w:val="22"/>
        </w:rPr>
        <w:t xml:space="preserve">are </w:t>
      </w:r>
      <w:r w:rsidR="00CF0A45" w:rsidRPr="00BA6745">
        <w:rPr>
          <w:rFonts w:ascii="Calibri" w:hAnsi="Calibri"/>
          <w:i/>
          <w:sz w:val="22"/>
          <w:szCs w:val="22"/>
        </w:rPr>
        <w:t>a multitude of fourth-, fifth-</w:t>
      </w:r>
      <w:r w:rsidR="00C74461" w:rsidRPr="00BA6745">
        <w:rPr>
          <w:rFonts w:ascii="Calibri" w:hAnsi="Calibri"/>
          <w:i/>
          <w:sz w:val="22"/>
          <w:szCs w:val="22"/>
        </w:rPr>
        <w:t xml:space="preserve"> and sixth-century archaeological finds</w:t>
      </w:r>
      <w:r w:rsidR="00CB207D" w:rsidRPr="00BA6745">
        <w:rPr>
          <w:rFonts w:ascii="Calibri" w:hAnsi="Calibri"/>
          <w:i/>
          <w:sz w:val="22"/>
          <w:szCs w:val="22"/>
        </w:rPr>
        <w:t xml:space="preserve"> from </w:t>
      </w:r>
      <w:r w:rsidR="004E50B0" w:rsidRPr="00BA6745">
        <w:rPr>
          <w:rFonts w:ascii="Calibri" w:hAnsi="Calibri"/>
          <w:i/>
          <w:sz w:val="22"/>
          <w:szCs w:val="22"/>
        </w:rPr>
        <w:t>any number of sites</w:t>
      </w:r>
      <w:r w:rsidR="004F3F29" w:rsidRPr="00BA6745">
        <w:rPr>
          <w:rFonts w:ascii="Calibri" w:hAnsi="Calibri"/>
          <w:i/>
          <w:sz w:val="22"/>
          <w:szCs w:val="22"/>
        </w:rPr>
        <w:t xml:space="preserve"> </w:t>
      </w:r>
      <w:r w:rsidR="00B22F3F" w:rsidRPr="00BA6745">
        <w:rPr>
          <w:rFonts w:ascii="Calibri" w:hAnsi="Calibri"/>
          <w:i/>
          <w:sz w:val="22"/>
          <w:szCs w:val="22"/>
        </w:rPr>
        <w:t xml:space="preserve">across the British Isles. </w:t>
      </w:r>
      <w:r w:rsidR="00B9260B" w:rsidRPr="00BA6745">
        <w:rPr>
          <w:rFonts w:ascii="Calibri" w:hAnsi="Calibri"/>
          <w:i/>
          <w:sz w:val="22"/>
          <w:szCs w:val="22"/>
        </w:rPr>
        <w:t xml:space="preserve">Esmonde-Cleary </w:t>
      </w:r>
      <w:r w:rsidR="005B052D" w:rsidRPr="00BA6745">
        <w:rPr>
          <w:rFonts w:ascii="Calibri" w:hAnsi="Calibri"/>
          <w:i/>
          <w:sz w:val="22"/>
          <w:szCs w:val="22"/>
        </w:rPr>
        <w:t xml:space="preserve">and Gerrard </w:t>
      </w:r>
      <w:r w:rsidR="00051BA2" w:rsidRPr="00BA6745">
        <w:rPr>
          <w:rFonts w:ascii="Calibri" w:hAnsi="Calibri"/>
          <w:i/>
          <w:sz w:val="22"/>
          <w:szCs w:val="22"/>
        </w:rPr>
        <w:t>are the best synthetic accounts</w:t>
      </w:r>
      <w:r w:rsidR="000A0F7E" w:rsidRPr="00BA6745">
        <w:rPr>
          <w:rFonts w:ascii="Calibri" w:hAnsi="Calibri"/>
          <w:i/>
          <w:sz w:val="22"/>
          <w:szCs w:val="22"/>
        </w:rPr>
        <w:t xml:space="preserve"> of this material evidence</w:t>
      </w:r>
      <w:r w:rsidR="007B4069" w:rsidRPr="00BA6745">
        <w:rPr>
          <w:rFonts w:ascii="Calibri" w:hAnsi="Calibri"/>
          <w:i/>
          <w:sz w:val="22"/>
          <w:szCs w:val="22"/>
        </w:rPr>
        <w:t>.</w:t>
      </w:r>
      <w:r w:rsidR="00847974" w:rsidRPr="00BA6745">
        <w:rPr>
          <w:rFonts w:ascii="Calibri" w:hAnsi="Calibri"/>
          <w:i/>
          <w:sz w:val="22"/>
          <w:szCs w:val="22"/>
        </w:rPr>
        <w:t xml:space="preserve"> They are best read in sequence</w:t>
      </w:r>
      <w:r w:rsidR="00FC54A2" w:rsidRPr="00BA6745">
        <w:rPr>
          <w:rFonts w:ascii="Calibri" w:hAnsi="Calibri"/>
          <w:i/>
          <w:sz w:val="22"/>
          <w:szCs w:val="22"/>
        </w:rPr>
        <w:t xml:space="preserve">, with Gerrard </w:t>
      </w:r>
      <w:r w:rsidR="0099678D" w:rsidRPr="00BA6745">
        <w:rPr>
          <w:rFonts w:ascii="Calibri" w:hAnsi="Calibri"/>
          <w:i/>
          <w:sz w:val="22"/>
          <w:szCs w:val="22"/>
        </w:rPr>
        <w:t xml:space="preserve">incorporating more recent evidence and interpretative models. </w:t>
      </w:r>
      <w:r w:rsidR="00110CE4" w:rsidRPr="00BA6745">
        <w:rPr>
          <w:rFonts w:ascii="Calibri" w:hAnsi="Calibri"/>
          <w:i/>
          <w:sz w:val="22"/>
          <w:szCs w:val="22"/>
        </w:rPr>
        <w:t xml:space="preserve">Faulkner is </w:t>
      </w:r>
      <w:r w:rsidR="00A81B5E" w:rsidRPr="00BA6745">
        <w:rPr>
          <w:rFonts w:ascii="Calibri" w:hAnsi="Calibri"/>
          <w:i/>
          <w:sz w:val="22"/>
          <w:szCs w:val="22"/>
        </w:rPr>
        <w:t xml:space="preserve">an important </w:t>
      </w:r>
      <w:r w:rsidR="00CC4496" w:rsidRPr="00BA6745">
        <w:rPr>
          <w:rFonts w:ascii="Calibri" w:hAnsi="Calibri"/>
          <w:i/>
          <w:sz w:val="22"/>
          <w:szCs w:val="22"/>
        </w:rPr>
        <w:t>encapsulation</w:t>
      </w:r>
      <w:r w:rsidR="00E0799D" w:rsidRPr="00BA6745">
        <w:rPr>
          <w:rFonts w:ascii="Calibri" w:hAnsi="Calibri"/>
          <w:i/>
          <w:sz w:val="22"/>
          <w:szCs w:val="22"/>
        </w:rPr>
        <w:t xml:space="preserve"> of</w:t>
      </w:r>
      <w:r w:rsidR="008E57ED" w:rsidRPr="00BA6745">
        <w:rPr>
          <w:rFonts w:ascii="Calibri" w:hAnsi="Calibri"/>
          <w:i/>
          <w:sz w:val="22"/>
          <w:szCs w:val="22"/>
        </w:rPr>
        <w:t>, and contribution to,</w:t>
      </w:r>
      <w:r w:rsidR="00E0799D" w:rsidRPr="00BA6745">
        <w:rPr>
          <w:rFonts w:ascii="Calibri" w:hAnsi="Calibri"/>
          <w:i/>
          <w:sz w:val="22"/>
          <w:szCs w:val="22"/>
        </w:rPr>
        <w:t xml:space="preserve"> </w:t>
      </w:r>
      <w:r w:rsidR="00192DC5" w:rsidRPr="00BA6745">
        <w:rPr>
          <w:rFonts w:ascii="Calibri" w:hAnsi="Calibri"/>
          <w:i/>
          <w:sz w:val="22"/>
          <w:szCs w:val="22"/>
        </w:rPr>
        <w:t>som</w:t>
      </w:r>
      <w:r w:rsidR="00E0799D" w:rsidRPr="00BA6745">
        <w:rPr>
          <w:rFonts w:ascii="Calibri" w:hAnsi="Calibri"/>
          <w:i/>
          <w:sz w:val="22"/>
          <w:szCs w:val="22"/>
        </w:rPr>
        <w:t>e</w:t>
      </w:r>
      <w:r w:rsidR="00192DC5" w:rsidRPr="00BA6745">
        <w:rPr>
          <w:rFonts w:ascii="Calibri" w:hAnsi="Calibri"/>
          <w:i/>
          <w:sz w:val="22"/>
          <w:szCs w:val="22"/>
        </w:rPr>
        <w:t xml:space="preserve"> key</w:t>
      </w:r>
      <w:r w:rsidR="00E0799D" w:rsidRPr="00BA6745">
        <w:rPr>
          <w:rFonts w:ascii="Calibri" w:hAnsi="Calibri"/>
          <w:i/>
          <w:sz w:val="22"/>
          <w:szCs w:val="22"/>
        </w:rPr>
        <w:t xml:space="preserve"> debates</w:t>
      </w:r>
      <w:r w:rsidR="00607469" w:rsidRPr="00BA6745">
        <w:rPr>
          <w:rFonts w:ascii="Calibri" w:hAnsi="Calibri"/>
          <w:i/>
          <w:sz w:val="22"/>
          <w:szCs w:val="22"/>
        </w:rPr>
        <w:t xml:space="preserve"> from</w:t>
      </w:r>
      <w:r w:rsidR="00E0799D" w:rsidRPr="00BA6745">
        <w:rPr>
          <w:rFonts w:ascii="Calibri" w:hAnsi="Calibri"/>
          <w:i/>
          <w:sz w:val="22"/>
          <w:szCs w:val="22"/>
        </w:rPr>
        <w:t xml:space="preserve"> in between.]</w:t>
      </w:r>
    </w:p>
    <w:p w14:paraId="5A82DE4A" w14:textId="516001F6" w:rsidR="00B17134" w:rsidRPr="00BA6745" w:rsidRDefault="00C67651" w:rsidP="00E156E9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 xml:space="preserve">**A.S. Esmonde-Cleary, </w:t>
      </w:r>
      <w:r w:rsidR="006A1896" w:rsidRPr="00BA6745">
        <w:rPr>
          <w:rFonts w:ascii="Calibri" w:hAnsi="Calibri"/>
          <w:i/>
          <w:iCs/>
          <w:sz w:val="22"/>
          <w:szCs w:val="22"/>
        </w:rPr>
        <w:t>The e</w:t>
      </w:r>
      <w:r w:rsidRPr="00BA6745">
        <w:rPr>
          <w:rFonts w:ascii="Calibri" w:hAnsi="Calibri"/>
          <w:i/>
          <w:iCs/>
          <w:sz w:val="22"/>
          <w:szCs w:val="22"/>
        </w:rPr>
        <w:t>nding of Roman Britain</w:t>
      </w:r>
      <w:r w:rsidRPr="00BA6745">
        <w:rPr>
          <w:rFonts w:ascii="Calibri" w:hAnsi="Calibri"/>
          <w:sz w:val="22"/>
          <w:szCs w:val="22"/>
        </w:rPr>
        <w:t xml:space="preserve"> (London, 1989), esp. chs. 4–6.  </w:t>
      </w:r>
    </w:p>
    <w:p w14:paraId="4C4502D6" w14:textId="0A94DA1F" w:rsidR="00341A70" w:rsidRPr="00BA6745" w:rsidRDefault="00341A70" w:rsidP="00E156E9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 xml:space="preserve">N. Faulkner, ‘The debate about the end of Roman Britain’, </w:t>
      </w:r>
      <w:r w:rsidRPr="00BA6745">
        <w:rPr>
          <w:rFonts w:ascii="Calibri" w:hAnsi="Calibri"/>
          <w:i/>
          <w:iCs/>
          <w:sz w:val="22"/>
          <w:szCs w:val="22"/>
        </w:rPr>
        <w:t>Archaeological Journal</w:t>
      </w:r>
      <w:r w:rsidRPr="00BA6745">
        <w:rPr>
          <w:rFonts w:ascii="Calibri" w:hAnsi="Calibri"/>
          <w:sz w:val="22"/>
          <w:szCs w:val="22"/>
        </w:rPr>
        <w:t xml:space="preserve"> 159 (2002), 59-76.</w:t>
      </w:r>
    </w:p>
    <w:p w14:paraId="707620D2" w14:textId="084179FC" w:rsidR="0027368F" w:rsidRPr="00BA6745" w:rsidRDefault="00A440F8" w:rsidP="00E156E9">
      <w:pPr>
        <w:jc w:val="both"/>
        <w:rPr>
          <w:rFonts w:ascii="Calibri" w:hAnsi="Calibri"/>
          <w:b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>*</w:t>
      </w:r>
      <w:r w:rsidR="00FA3F3B" w:rsidRPr="00BA6745">
        <w:rPr>
          <w:rFonts w:ascii="Calibri" w:hAnsi="Calibri"/>
          <w:b/>
          <w:sz w:val="22"/>
          <w:szCs w:val="22"/>
        </w:rPr>
        <w:t>*</w:t>
      </w:r>
      <w:r w:rsidR="0027368F" w:rsidRPr="00BA6745">
        <w:rPr>
          <w:rFonts w:ascii="Calibri" w:hAnsi="Calibri"/>
          <w:sz w:val="22"/>
          <w:szCs w:val="22"/>
        </w:rPr>
        <w:t xml:space="preserve">J. Gerrard, </w:t>
      </w:r>
      <w:r w:rsidR="0027368F" w:rsidRPr="00BA6745">
        <w:rPr>
          <w:rFonts w:ascii="Calibri" w:hAnsi="Calibri"/>
          <w:i/>
          <w:sz w:val="22"/>
          <w:szCs w:val="22"/>
        </w:rPr>
        <w:t xml:space="preserve">The ruin of Roman Britain: an archaeological perspective </w:t>
      </w:r>
      <w:r w:rsidR="001F476F" w:rsidRPr="00BA6745">
        <w:rPr>
          <w:rFonts w:ascii="Calibri" w:hAnsi="Calibri"/>
          <w:sz w:val="22"/>
          <w:szCs w:val="22"/>
        </w:rPr>
        <w:t>(Cambridge, 2013), esp. chs 1-3, 5, 7.</w:t>
      </w:r>
    </w:p>
    <w:p w14:paraId="15B95283" w14:textId="77777777" w:rsidR="0027368F" w:rsidRPr="00BA6745" w:rsidRDefault="0027368F" w:rsidP="00E156E9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19F169A" w14:textId="47A349F6" w:rsidR="0027368F" w:rsidRPr="00BA6745" w:rsidRDefault="00181204" w:rsidP="00E156E9">
      <w:pPr>
        <w:jc w:val="both"/>
        <w:rPr>
          <w:rFonts w:ascii="Calibri" w:hAnsi="Calibri"/>
          <w:b/>
          <w:bCs/>
          <w:sz w:val="22"/>
          <w:szCs w:val="22"/>
        </w:rPr>
      </w:pPr>
      <w:r w:rsidRPr="00BA6745">
        <w:rPr>
          <w:rFonts w:ascii="Calibri" w:hAnsi="Calibri"/>
          <w:b/>
          <w:bCs/>
          <w:sz w:val="22"/>
          <w:szCs w:val="22"/>
        </w:rPr>
        <w:t xml:space="preserve">Late </w:t>
      </w:r>
      <w:r w:rsidR="0027368F" w:rsidRPr="00BA6745">
        <w:rPr>
          <w:rFonts w:ascii="Calibri" w:hAnsi="Calibri"/>
          <w:b/>
          <w:bCs/>
          <w:sz w:val="22"/>
          <w:szCs w:val="22"/>
        </w:rPr>
        <w:t>Roman Britain</w:t>
      </w:r>
    </w:p>
    <w:p w14:paraId="0B909CE3" w14:textId="5963C629" w:rsidR="002D669E" w:rsidRPr="00BA6745" w:rsidRDefault="00E761C9" w:rsidP="00E156E9">
      <w:pPr>
        <w:jc w:val="both"/>
        <w:rPr>
          <w:rFonts w:ascii="Calibri" w:hAnsi="Calibri"/>
          <w:i/>
          <w:sz w:val="22"/>
          <w:szCs w:val="22"/>
        </w:rPr>
      </w:pPr>
      <w:r w:rsidRPr="00BA6745">
        <w:rPr>
          <w:rFonts w:ascii="Calibri" w:hAnsi="Calibri"/>
          <w:i/>
          <w:sz w:val="22"/>
          <w:szCs w:val="22"/>
        </w:rPr>
        <w:t>[You may decide you want to know more about</w:t>
      </w:r>
      <w:r w:rsidR="00634B44" w:rsidRPr="00BA6745">
        <w:rPr>
          <w:rFonts w:ascii="Calibri" w:hAnsi="Calibri"/>
          <w:i/>
          <w:sz w:val="22"/>
          <w:szCs w:val="22"/>
        </w:rPr>
        <w:t xml:space="preserve"> late</w:t>
      </w:r>
      <w:r w:rsidRPr="00BA6745">
        <w:rPr>
          <w:rFonts w:ascii="Calibri" w:hAnsi="Calibri"/>
          <w:i/>
          <w:sz w:val="22"/>
          <w:szCs w:val="22"/>
        </w:rPr>
        <w:t xml:space="preserve"> Roman Britain to answer </w:t>
      </w:r>
      <w:r w:rsidR="00581A44" w:rsidRPr="00BA6745">
        <w:rPr>
          <w:rFonts w:ascii="Calibri" w:hAnsi="Calibri"/>
          <w:i/>
          <w:sz w:val="22"/>
          <w:szCs w:val="22"/>
        </w:rPr>
        <w:t>these questions.</w:t>
      </w:r>
      <w:r w:rsidRPr="00BA6745">
        <w:rPr>
          <w:rFonts w:ascii="Calibri" w:hAnsi="Calibri"/>
          <w:i/>
          <w:sz w:val="22"/>
          <w:szCs w:val="22"/>
        </w:rPr>
        <w:t xml:space="preserve"> </w:t>
      </w:r>
      <w:r w:rsidR="0034147A" w:rsidRPr="00BA6745">
        <w:rPr>
          <w:rFonts w:ascii="Calibri" w:hAnsi="Calibri"/>
          <w:i/>
          <w:sz w:val="22"/>
          <w:szCs w:val="22"/>
        </w:rPr>
        <w:t>M</w:t>
      </w:r>
      <w:r w:rsidR="005C3281" w:rsidRPr="00BA6745">
        <w:rPr>
          <w:rFonts w:ascii="Calibri" w:hAnsi="Calibri"/>
          <w:i/>
          <w:sz w:val="22"/>
          <w:szCs w:val="22"/>
        </w:rPr>
        <w:t xml:space="preserve">illett and Mattingly provide </w:t>
      </w:r>
      <w:r w:rsidR="00CF17B9" w:rsidRPr="00BA6745">
        <w:rPr>
          <w:rFonts w:ascii="Calibri" w:hAnsi="Calibri"/>
          <w:i/>
          <w:sz w:val="22"/>
          <w:szCs w:val="22"/>
        </w:rPr>
        <w:t>accessible accounts</w:t>
      </w:r>
      <w:r w:rsidR="0040119D" w:rsidRPr="00BA6745">
        <w:rPr>
          <w:rFonts w:ascii="Calibri" w:hAnsi="Calibri"/>
          <w:i/>
          <w:sz w:val="22"/>
          <w:szCs w:val="22"/>
        </w:rPr>
        <w:t xml:space="preserve">; though do think about how their pictures </w:t>
      </w:r>
      <w:r w:rsidR="00A53F27" w:rsidRPr="00BA6745">
        <w:rPr>
          <w:rFonts w:ascii="Calibri" w:hAnsi="Calibri"/>
          <w:i/>
          <w:sz w:val="22"/>
          <w:szCs w:val="22"/>
        </w:rPr>
        <w:t>accord with</w:t>
      </w:r>
      <w:r w:rsidR="005D279F" w:rsidRPr="00BA6745">
        <w:rPr>
          <w:rFonts w:ascii="Calibri" w:hAnsi="Calibri"/>
          <w:i/>
          <w:sz w:val="22"/>
          <w:szCs w:val="22"/>
        </w:rPr>
        <w:t xml:space="preserve"> or diverge from </w:t>
      </w:r>
      <w:r w:rsidR="005A2049" w:rsidRPr="00BA6745">
        <w:rPr>
          <w:rFonts w:ascii="Calibri" w:hAnsi="Calibri"/>
          <w:i/>
          <w:sz w:val="22"/>
          <w:szCs w:val="22"/>
        </w:rPr>
        <w:t>those of Esmonde-Cleary and Gerrard</w:t>
      </w:r>
      <w:r w:rsidR="00CF17B9" w:rsidRPr="00BA6745">
        <w:rPr>
          <w:rFonts w:ascii="Calibri" w:hAnsi="Calibri"/>
          <w:i/>
          <w:sz w:val="22"/>
          <w:szCs w:val="22"/>
        </w:rPr>
        <w:t>.</w:t>
      </w:r>
      <w:r w:rsidR="00C312ED" w:rsidRPr="00BA6745">
        <w:rPr>
          <w:rFonts w:ascii="Calibri" w:hAnsi="Calibri"/>
          <w:i/>
          <w:sz w:val="22"/>
          <w:szCs w:val="22"/>
        </w:rPr>
        <w:t>]</w:t>
      </w:r>
    </w:p>
    <w:p w14:paraId="10153E19" w14:textId="07ADCADA" w:rsidR="0027368F" w:rsidRPr="0098781C" w:rsidRDefault="0027368F" w:rsidP="00E156E9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 xml:space="preserve">D. Mattingly, </w:t>
      </w:r>
      <w:r w:rsidRPr="00BA6745">
        <w:rPr>
          <w:rFonts w:ascii="Calibri" w:hAnsi="Calibri"/>
          <w:i/>
          <w:sz w:val="22"/>
          <w:szCs w:val="22"/>
        </w:rPr>
        <w:t>An imperial possession: Britain in the Roman Empire, 54 BC – AD 409</w:t>
      </w:r>
      <w:r w:rsidRPr="00BA6745">
        <w:rPr>
          <w:rFonts w:ascii="Calibri" w:hAnsi="Calibri"/>
          <w:sz w:val="22"/>
          <w:szCs w:val="22"/>
        </w:rPr>
        <w:t xml:space="preserve"> (London, 2006),</w:t>
      </w:r>
      <w:r w:rsidR="000A270E" w:rsidRPr="00BA6745">
        <w:rPr>
          <w:rFonts w:ascii="Calibri" w:hAnsi="Calibri"/>
          <w:sz w:val="22"/>
          <w:szCs w:val="22"/>
        </w:rPr>
        <w:t xml:space="preserve"> chs 8, 11, 17.</w:t>
      </w:r>
    </w:p>
    <w:p w14:paraId="71E2FE79" w14:textId="6E0A2202" w:rsidR="0027368F" w:rsidRPr="00BA6745" w:rsidRDefault="0027368F" w:rsidP="00E156E9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 xml:space="preserve">M. Millett, </w:t>
      </w:r>
      <w:r w:rsidRPr="00BA6745">
        <w:rPr>
          <w:rFonts w:ascii="Calibri" w:hAnsi="Calibri"/>
          <w:i/>
          <w:iCs/>
          <w:sz w:val="22"/>
          <w:szCs w:val="22"/>
        </w:rPr>
        <w:t>T</w:t>
      </w:r>
      <w:r w:rsidR="00A64E8D" w:rsidRPr="00BA6745">
        <w:rPr>
          <w:rFonts w:ascii="Calibri" w:hAnsi="Calibri"/>
          <w:i/>
          <w:iCs/>
          <w:sz w:val="22"/>
          <w:szCs w:val="22"/>
        </w:rPr>
        <w:t>he Romanization of Britain: an essay in archaeological i</w:t>
      </w:r>
      <w:r w:rsidRPr="00BA6745">
        <w:rPr>
          <w:rFonts w:ascii="Calibri" w:hAnsi="Calibri"/>
          <w:i/>
          <w:iCs/>
          <w:sz w:val="22"/>
          <w:szCs w:val="22"/>
        </w:rPr>
        <w:t>nterpretation</w:t>
      </w:r>
      <w:r w:rsidRPr="00BA6745">
        <w:rPr>
          <w:rFonts w:ascii="Calibri" w:hAnsi="Calibri"/>
          <w:sz w:val="22"/>
          <w:szCs w:val="22"/>
        </w:rPr>
        <w:t xml:space="preserve"> (Cambridge, 1990)</w:t>
      </w:r>
      <w:r w:rsidR="00AE40BD" w:rsidRPr="00BA6745">
        <w:rPr>
          <w:rFonts w:ascii="Calibri" w:hAnsi="Calibri"/>
          <w:sz w:val="22"/>
          <w:szCs w:val="22"/>
        </w:rPr>
        <w:t>, chs 7-9.</w:t>
      </w:r>
    </w:p>
    <w:p w14:paraId="1A1B3EA8" w14:textId="77777777" w:rsidR="00433D6A" w:rsidRDefault="00433D6A" w:rsidP="00E156E9">
      <w:pPr>
        <w:jc w:val="both"/>
        <w:rPr>
          <w:rFonts w:ascii="Calibri" w:hAnsi="Calibri"/>
          <w:sz w:val="22"/>
          <w:szCs w:val="22"/>
        </w:rPr>
      </w:pPr>
    </w:p>
    <w:p w14:paraId="718C43B8" w14:textId="77777777" w:rsidR="00447CE0" w:rsidRDefault="00447CE0" w:rsidP="00E156E9">
      <w:pPr>
        <w:jc w:val="both"/>
        <w:rPr>
          <w:rFonts w:ascii="Calibri" w:hAnsi="Calibri"/>
          <w:sz w:val="22"/>
          <w:szCs w:val="22"/>
        </w:rPr>
      </w:pPr>
    </w:p>
    <w:p w14:paraId="2D0EED58" w14:textId="77777777" w:rsidR="00447CE0" w:rsidRPr="00BA6745" w:rsidRDefault="00447CE0" w:rsidP="00E156E9">
      <w:pPr>
        <w:jc w:val="both"/>
        <w:rPr>
          <w:rFonts w:ascii="Calibri" w:hAnsi="Calibri"/>
          <w:sz w:val="22"/>
          <w:szCs w:val="22"/>
        </w:rPr>
      </w:pPr>
    </w:p>
    <w:p w14:paraId="15151432" w14:textId="1F114E0B" w:rsidR="00AB1B5A" w:rsidRPr="00BA6745" w:rsidRDefault="004B408D" w:rsidP="001617E5">
      <w:pPr>
        <w:jc w:val="both"/>
        <w:rPr>
          <w:rFonts w:ascii="Calibri" w:hAnsi="Calibri"/>
          <w:b/>
          <w:bCs/>
          <w:sz w:val="22"/>
          <w:szCs w:val="22"/>
        </w:rPr>
      </w:pPr>
      <w:r w:rsidRPr="00BA6745">
        <w:rPr>
          <w:rFonts w:ascii="Calibri" w:hAnsi="Calibri"/>
          <w:b/>
          <w:bCs/>
          <w:sz w:val="22"/>
          <w:szCs w:val="22"/>
        </w:rPr>
        <w:lastRenderedPageBreak/>
        <w:t>Continuity and Change</w:t>
      </w:r>
    </w:p>
    <w:p w14:paraId="53E67A76" w14:textId="72E44942" w:rsidR="00C96A2B" w:rsidRPr="00BA6745" w:rsidRDefault="00CC2C52" w:rsidP="001617E5">
      <w:pPr>
        <w:jc w:val="both"/>
        <w:rPr>
          <w:rFonts w:ascii="Calibri" w:hAnsi="Calibri"/>
          <w:bCs/>
          <w:i/>
          <w:sz w:val="22"/>
          <w:szCs w:val="22"/>
        </w:rPr>
      </w:pPr>
      <w:r w:rsidRPr="00BA6745">
        <w:rPr>
          <w:rFonts w:ascii="Calibri" w:hAnsi="Calibri"/>
          <w:bCs/>
          <w:i/>
          <w:sz w:val="22"/>
          <w:szCs w:val="22"/>
        </w:rPr>
        <w:t>[</w:t>
      </w:r>
      <w:r w:rsidR="003D478F" w:rsidRPr="00BA6745">
        <w:rPr>
          <w:rFonts w:ascii="Calibri" w:hAnsi="Calibri"/>
          <w:bCs/>
          <w:i/>
          <w:sz w:val="22"/>
          <w:szCs w:val="22"/>
        </w:rPr>
        <w:t>There have been heated debates on the degree of continuity in post-Roman Britain</w:t>
      </w:r>
      <w:r w:rsidR="00FC1E31" w:rsidRPr="00BA6745">
        <w:rPr>
          <w:rFonts w:ascii="Calibri" w:hAnsi="Calibri"/>
          <w:bCs/>
          <w:i/>
          <w:sz w:val="22"/>
          <w:szCs w:val="22"/>
        </w:rPr>
        <w:t xml:space="preserve">—often </w:t>
      </w:r>
      <w:r w:rsidR="008D6CD0" w:rsidRPr="00BA6745">
        <w:rPr>
          <w:rFonts w:ascii="Calibri" w:hAnsi="Calibri"/>
          <w:bCs/>
          <w:i/>
          <w:sz w:val="22"/>
          <w:szCs w:val="22"/>
        </w:rPr>
        <w:t xml:space="preserve">confused by </w:t>
      </w:r>
      <w:r w:rsidR="009A470A" w:rsidRPr="00BA6745">
        <w:rPr>
          <w:rFonts w:ascii="Calibri" w:hAnsi="Calibri"/>
          <w:bCs/>
          <w:i/>
          <w:sz w:val="22"/>
          <w:szCs w:val="22"/>
        </w:rPr>
        <w:t>varying</w:t>
      </w:r>
      <w:r w:rsidR="00926F2C" w:rsidRPr="00BA6745">
        <w:rPr>
          <w:rFonts w:ascii="Calibri" w:hAnsi="Calibri"/>
          <w:bCs/>
          <w:i/>
          <w:sz w:val="22"/>
          <w:szCs w:val="22"/>
        </w:rPr>
        <w:t xml:space="preserve"> defi</w:t>
      </w:r>
      <w:r w:rsidR="001B20C1" w:rsidRPr="00BA6745">
        <w:rPr>
          <w:rFonts w:ascii="Calibri" w:hAnsi="Calibri"/>
          <w:bCs/>
          <w:i/>
          <w:sz w:val="22"/>
          <w:szCs w:val="22"/>
        </w:rPr>
        <w:t>ni</w:t>
      </w:r>
      <w:r w:rsidR="00926F2C" w:rsidRPr="00BA6745">
        <w:rPr>
          <w:rFonts w:ascii="Calibri" w:hAnsi="Calibri"/>
          <w:bCs/>
          <w:i/>
          <w:sz w:val="22"/>
          <w:szCs w:val="22"/>
        </w:rPr>
        <w:t>tion</w:t>
      </w:r>
      <w:r w:rsidR="001B20C1" w:rsidRPr="00BA6745">
        <w:rPr>
          <w:rFonts w:ascii="Calibri" w:hAnsi="Calibri"/>
          <w:bCs/>
          <w:i/>
          <w:sz w:val="22"/>
          <w:szCs w:val="22"/>
        </w:rPr>
        <w:t>s</w:t>
      </w:r>
      <w:r w:rsidR="00926F2C" w:rsidRPr="00BA6745">
        <w:rPr>
          <w:rFonts w:ascii="Calibri" w:hAnsi="Calibri"/>
          <w:bCs/>
          <w:i/>
          <w:sz w:val="22"/>
          <w:szCs w:val="22"/>
        </w:rPr>
        <w:t xml:space="preserve"> of what ‘continuit</w:t>
      </w:r>
      <w:r w:rsidR="00D4506F" w:rsidRPr="00BA6745">
        <w:rPr>
          <w:rFonts w:ascii="Calibri" w:hAnsi="Calibri"/>
          <w:bCs/>
          <w:i/>
          <w:sz w:val="22"/>
          <w:szCs w:val="22"/>
        </w:rPr>
        <w:t>y’</w:t>
      </w:r>
      <w:r w:rsidR="00F75901" w:rsidRPr="00BA6745">
        <w:rPr>
          <w:rFonts w:ascii="Calibri" w:hAnsi="Calibri"/>
          <w:bCs/>
          <w:i/>
          <w:sz w:val="22"/>
          <w:szCs w:val="22"/>
        </w:rPr>
        <w:t xml:space="preserve"> actually means</w:t>
      </w:r>
      <w:r w:rsidR="00D4506F" w:rsidRPr="00BA6745">
        <w:rPr>
          <w:rFonts w:ascii="Calibri" w:hAnsi="Calibri"/>
          <w:bCs/>
          <w:i/>
          <w:sz w:val="22"/>
          <w:szCs w:val="22"/>
        </w:rPr>
        <w:t>.</w:t>
      </w:r>
      <w:r w:rsidR="00F75901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97460C" w:rsidRPr="00BA6745">
        <w:rPr>
          <w:rFonts w:ascii="Calibri" w:hAnsi="Calibri"/>
          <w:bCs/>
          <w:i/>
          <w:sz w:val="22"/>
          <w:szCs w:val="22"/>
        </w:rPr>
        <w:t>Higham and</w:t>
      </w:r>
      <w:r w:rsidR="00C94A49" w:rsidRPr="00BA6745">
        <w:rPr>
          <w:rFonts w:ascii="Calibri" w:hAnsi="Calibri"/>
          <w:bCs/>
          <w:i/>
          <w:sz w:val="22"/>
          <w:szCs w:val="22"/>
        </w:rPr>
        <w:t xml:space="preserve"> esp.</w:t>
      </w:r>
      <w:r w:rsidR="0097460C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7531C6" w:rsidRPr="00BA6745">
        <w:rPr>
          <w:rFonts w:ascii="Calibri" w:hAnsi="Calibri"/>
          <w:bCs/>
          <w:i/>
          <w:sz w:val="22"/>
          <w:szCs w:val="22"/>
        </w:rPr>
        <w:t xml:space="preserve">Dark </w:t>
      </w:r>
      <w:r w:rsidR="00570701" w:rsidRPr="00BA6745">
        <w:rPr>
          <w:rFonts w:ascii="Calibri" w:hAnsi="Calibri"/>
          <w:bCs/>
          <w:i/>
          <w:sz w:val="22"/>
          <w:szCs w:val="22"/>
        </w:rPr>
        <w:t>present</w:t>
      </w:r>
      <w:r w:rsidR="007531C6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3B1D42" w:rsidRPr="00BA6745">
        <w:rPr>
          <w:rFonts w:ascii="Calibri" w:hAnsi="Calibri"/>
          <w:bCs/>
          <w:i/>
          <w:sz w:val="22"/>
          <w:szCs w:val="22"/>
        </w:rPr>
        <w:t xml:space="preserve">maximalist </w:t>
      </w:r>
      <w:r w:rsidR="0030700D" w:rsidRPr="00BA6745">
        <w:rPr>
          <w:rFonts w:ascii="Calibri" w:hAnsi="Calibri"/>
          <w:bCs/>
          <w:i/>
          <w:sz w:val="22"/>
          <w:szCs w:val="22"/>
        </w:rPr>
        <w:t>case</w:t>
      </w:r>
      <w:r w:rsidR="00822A10" w:rsidRPr="00BA6745">
        <w:rPr>
          <w:rFonts w:ascii="Calibri" w:hAnsi="Calibri"/>
          <w:bCs/>
          <w:i/>
          <w:sz w:val="22"/>
          <w:szCs w:val="22"/>
        </w:rPr>
        <w:t>s</w:t>
      </w:r>
      <w:r w:rsidR="008D73B3" w:rsidRPr="00BA6745">
        <w:rPr>
          <w:rFonts w:ascii="Calibri" w:hAnsi="Calibri"/>
          <w:bCs/>
          <w:i/>
          <w:sz w:val="22"/>
          <w:szCs w:val="22"/>
        </w:rPr>
        <w:t xml:space="preserve"> for continuity</w:t>
      </w:r>
      <w:r w:rsidR="0030700D" w:rsidRPr="00BA6745">
        <w:rPr>
          <w:rFonts w:ascii="Calibri" w:hAnsi="Calibri"/>
          <w:bCs/>
          <w:i/>
          <w:sz w:val="22"/>
          <w:szCs w:val="22"/>
        </w:rPr>
        <w:t xml:space="preserve">; </w:t>
      </w:r>
      <w:r w:rsidR="00C55C8F" w:rsidRPr="00BA6745">
        <w:rPr>
          <w:rFonts w:ascii="Calibri" w:hAnsi="Calibri"/>
          <w:bCs/>
          <w:i/>
          <w:sz w:val="22"/>
          <w:szCs w:val="22"/>
        </w:rPr>
        <w:t xml:space="preserve">Loseby </w:t>
      </w:r>
      <w:r w:rsidR="0003470F" w:rsidRPr="00BA6745">
        <w:rPr>
          <w:rFonts w:ascii="Calibri" w:hAnsi="Calibri"/>
          <w:bCs/>
          <w:i/>
          <w:sz w:val="22"/>
          <w:szCs w:val="22"/>
        </w:rPr>
        <w:t>argues</w:t>
      </w:r>
      <w:r w:rsidR="00C55C8F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245375" w:rsidRPr="00BA6745">
        <w:rPr>
          <w:rFonts w:ascii="Calibri" w:hAnsi="Calibri"/>
          <w:bCs/>
          <w:i/>
          <w:sz w:val="22"/>
          <w:szCs w:val="22"/>
        </w:rPr>
        <w:t>for the end of</w:t>
      </w:r>
      <w:r w:rsidR="006F1B2E" w:rsidRPr="00BA6745">
        <w:rPr>
          <w:rFonts w:ascii="Calibri" w:hAnsi="Calibri"/>
          <w:bCs/>
          <w:i/>
          <w:sz w:val="22"/>
          <w:szCs w:val="22"/>
        </w:rPr>
        <w:t xml:space="preserve"> urbanism</w:t>
      </w:r>
      <w:r w:rsidR="0054226E" w:rsidRPr="00BA6745">
        <w:rPr>
          <w:rFonts w:ascii="Calibri" w:hAnsi="Calibri"/>
          <w:bCs/>
          <w:i/>
          <w:sz w:val="22"/>
          <w:szCs w:val="22"/>
        </w:rPr>
        <w:t xml:space="preserve">; Ward-Perkins </w:t>
      </w:r>
      <w:r w:rsidR="00E55BF8" w:rsidRPr="00BA6745">
        <w:rPr>
          <w:rFonts w:ascii="Calibri" w:hAnsi="Calibri"/>
          <w:bCs/>
          <w:i/>
          <w:sz w:val="22"/>
          <w:szCs w:val="22"/>
        </w:rPr>
        <w:t>presents Britain</w:t>
      </w:r>
      <w:r w:rsidR="00597300" w:rsidRPr="00BA6745">
        <w:rPr>
          <w:rFonts w:ascii="Calibri" w:hAnsi="Calibri"/>
          <w:bCs/>
          <w:i/>
          <w:sz w:val="22"/>
          <w:szCs w:val="22"/>
        </w:rPr>
        <w:t xml:space="preserve">—in </w:t>
      </w:r>
      <w:r w:rsidR="008A562D" w:rsidRPr="00BA6745">
        <w:rPr>
          <w:rFonts w:ascii="Calibri" w:hAnsi="Calibri"/>
          <w:bCs/>
          <w:i/>
          <w:sz w:val="22"/>
          <w:szCs w:val="22"/>
        </w:rPr>
        <w:t>a broader imperia</w:t>
      </w:r>
      <w:r w:rsidR="00597300" w:rsidRPr="00BA6745">
        <w:rPr>
          <w:rFonts w:ascii="Calibri" w:hAnsi="Calibri"/>
          <w:bCs/>
          <w:i/>
          <w:sz w:val="22"/>
          <w:szCs w:val="22"/>
        </w:rPr>
        <w:t xml:space="preserve">l perspective—as </w:t>
      </w:r>
      <w:r w:rsidR="004167DE" w:rsidRPr="00BA6745">
        <w:rPr>
          <w:rFonts w:ascii="Calibri" w:hAnsi="Calibri"/>
          <w:bCs/>
          <w:i/>
          <w:sz w:val="22"/>
          <w:szCs w:val="22"/>
        </w:rPr>
        <w:t>an extreme case of</w:t>
      </w:r>
      <w:r w:rsidR="00332E35" w:rsidRPr="00BA6745">
        <w:rPr>
          <w:rFonts w:ascii="Calibri" w:hAnsi="Calibri"/>
          <w:bCs/>
          <w:i/>
          <w:sz w:val="22"/>
          <w:szCs w:val="22"/>
        </w:rPr>
        <w:t xml:space="preserve"> post-Roman</w:t>
      </w:r>
      <w:r w:rsidR="004167DE" w:rsidRPr="00BA6745">
        <w:rPr>
          <w:rFonts w:ascii="Calibri" w:hAnsi="Calibri"/>
          <w:bCs/>
          <w:i/>
          <w:sz w:val="22"/>
          <w:szCs w:val="22"/>
        </w:rPr>
        <w:t xml:space="preserve"> decline.</w:t>
      </w:r>
      <w:r w:rsidR="00D82F8C" w:rsidRPr="00BA6745">
        <w:rPr>
          <w:rFonts w:ascii="Calibri" w:hAnsi="Calibri"/>
          <w:bCs/>
          <w:i/>
          <w:sz w:val="22"/>
          <w:szCs w:val="22"/>
        </w:rPr>
        <w:t xml:space="preserve"> Think about </w:t>
      </w:r>
      <w:r w:rsidR="00A0114C" w:rsidRPr="00BA6745">
        <w:rPr>
          <w:rFonts w:ascii="Calibri" w:hAnsi="Calibri"/>
          <w:bCs/>
          <w:i/>
          <w:sz w:val="22"/>
          <w:szCs w:val="22"/>
        </w:rPr>
        <w:t>how</w:t>
      </w:r>
      <w:r w:rsidR="00947A53" w:rsidRPr="00BA6745">
        <w:rPr>
          <w:rFonts w:ascii="Calibri" w:hAnsi="Calibri"/>
          <w:bCs/>
          <w:i/>
          <w:sz w:val="22"/>
          <w:szCs w:val="22"/>
        </w:rPr>
        <w:t xml:space="preserve"> you might </w:t>
      </w:r>
      <w:r w:rsidR="00BB41FF" w:rsidRPr="00BA6745">
        <w:rPr>
          <w:rFonts w:ascii="Calibri" w:hAnsi="Calibri"/>
          <w:bCs/>
          <w:i/>
          <w:sz w:val="22"/>
          <w:szCs w:val="22"/>
        </w:rPr>
        <w:t>reconcile</w:t>
      </w:r>
      <w:r w:rsidR="00A0114C" w:rsidRPr="00BA6745">
        <w:rPr>
          <w:rFonts w:ascii="Calibri" w:hAnsi="Calibri"/>
          <w:bCs/>
          <w:i/>
          <w:sz w:val="22"/>
          <w:szCs w:val="22"/>
        </w:rPr>
        <w:t xml:space="preserve"> these treatments.</w:t>
      </w:r>
      <w:r w:rsidR="000725F6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57533B" w:rsidRPr="00BA6745">
        <w:rPr>
          <w:rFonts w:ascii="Calibri" w:hAnsi="Calibri"/>
          <w:bCs/>
          <w:i/>
          <w:sz w:val="22"/>
          <w:szCs w:val="22"/>
        </w:rPr>
        <w:t>Which interpretations do you find more convincing?</w:t>
      </w:r>
      <w:r w:rsidR="000725F6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A80902" w:rsidRPr="00BA6745">
        <w:rPr>
          <w:rFonts w:ascii="Calibri" w:hAnsi="Calibri"/>
          <w:bCs/>
          <w:i/>
          <w:sz w:val="22"/>
          <w:szCs w:val="22"/>
        </w:rPr>
        <w:t>Are they using the same</w:t>
      </w:r>
      <w:r w:rsidR="00C3633D" w:rsidRPr="00BA6745">
        <w:rPr>
          <w:rFonts w:ascii="Calibri" w:hAnsi="Calibri"/>
          <w:bCs/>
          <w:i/>
          <w:sz w:val="22"/>
          <w:szCs w:val="22"/>
        </w:rPr>
        <w:t xml:space="preserve"> or different</w:t>
      </w:r>
      <w:r w:rsidR="00A80902" w:rsidRPr="00BA6745">
        <w:rPr>
          <w:rFonts w:ascii="Calibri" w:hAnsi="Calibri"/>
          <w:bCs/>
          <w:i/>
          <w:sz w:val="22"/>
          <w:szCs w:val="22"/>
        </w:rPr>
        <w:t xml:space="preserve"> evidence</w:t>
      </w:r>
      <w:r w:rsidR="00C30C47" w:rsidRPr="00BA6745">
        <w:rPr>
          <w:rFonts w:ascii="Calibri" w:hAnsi="Calibri"/>
          <w:bCs/>
          <w:i/>
          <w:sz w:val="22"/>
          <w:szCs w:val="22"/>
        </w:rPr>
        <w:t xml:space="preserve"> and</w:t>
      </w:r>
      <w:r w:rsidR="00F734B1" w:rsidRPr="00BA6745">
        <w:rPr>
          <w:rFonts w:ascii="Calibri" w:hAnsi="Calibri"/>
          <w:bCs/>
          <w:i/>
          <w:sz w:val="22"/>
          <w:szCs w:val="22"/>
        </w:rPr>
        <w:t>/or</w:t>
      </w:r>
      <w:r w:rsidR="00C30C47" w:rsidRPr="00BA6745">
        <w:rPr>
          <w:rFonts w:ascii="Calibri" w:hAnsi="Calibri"/>
          <w:bCs/>
          <w:i/>
          <w:sz w:val="22"/>
          <w:szCs w:val="22"/>
        </w:rPr>
        <w:t xml:space="preserve"> methodology</w:t>
      </w:r>
      <w:r w:rsidR="00F85EAD" w:rsidRPr="00BA6745">
        <w:rPr>
          <w:rFonts w:ascii="Calibri" w:hAnsi="Calibri"/>
          <w:bCs/>
          <w:i/>
          <w:sz w:val="22"/>
          <w:szCs w:val="22"/>
        </w:rPr>
        <w:t>?</w:t>
      </w:r>
      <w:r w:rsidR="00852F6F" w:rsidRPr="00BA6745">
        <w:rPr>
          <w:rFonts w:ascii="Calibri" w:hAnsi="Calibri"/>
          <w:bCs/>
          <w:i/>
          <w:sz w:val="22"/>
          <w:szCs w:val="22"/>
        </w:rPr>
        <w:t xml:space="preserve"> Do they prioritise different things, and if so, why?</w:t>
      </w:r>
      <w:r w:rsidR="00FB3527" w:rsidRPr="00BA6745">
        <w:rPr>
          <w:rFonts w:ascii="Calibri" w:hAnsi="Calibri"/>
          <w:bCs/>
          <w:i/>
          <w:sz w:val="22"/>
          <w:szCs w:val="22"/>
        </w:rPr>
        <w:t>]</w:t>
      </w:r>
    </w:p>
    <w:p w14:paraId="64B46CCC" w14:textId="77777777" w:rsidR="00AB1B5A" w:rsidRPr="00BA6745" w:rsidRDefault="00AB1B5A" w:rsidP="001617E5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>D.A. Brooks, ‘A review of the evidence for continuity in British towns in the 5</w:t>
      </w:r>
      <w:r w:rsidRPr="00BA6745">
        <w:rPr>
          <w:rFonts w:ascii="Calibri" w:hAnsi="Calibri"/>
          <w:sz w:val="22"/>
          <w:szCs w:val="22"/>
          <w:vertAlign w:val="superscript"/>
        </w:rPr>
        <w:t>th</w:t>
      </w:r>
      <w:r w:rsidRPr="00BA6745">
        <w:rPr>
          <w:rFonts w:ascii="Calibri" w:hAnsi="Calibri"/>
          <w:sz w:val="22"/>
          <w:szCs w:val="22"/>
        </w:rPr>
        <w:t xml:space="preserve"> and </w:t>
      </w:r>
    </w:p>
    <w:p w14:paraId="78BEB582" w14:textId="0FE9AF9F" w:rsidR="00AB1B5A" w:rsidRPr="00BA6745" w:rsidRDefault="00AB1B5A" w:rsidP="001617E5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>6</w:t>
      </w:r>
      <w:r w:rsidRPr="00BA6745">
        <w:rPr>
          <w:rFonts w:ascii="Calibri" w:hAnsi="Calibri"/>
          <w:sz w:val="22"/>
          <w:szCs w:val="22"/>
          <w:vertAlign w:val="superscript"/>
        </w:rPr>
        <w:t>th</w:t>
      </w:r>
      <w:r w:rsidRPr="00BA6745">
        <w:rPr>
          <w:rFonts w:ascii="Calibri" w:hAnsi="Calibri"/>
          <w:sz w:val="22"/>
          <w:szCs w:val="22"/>
        </w:rPr>
        <w:t xml:space="preserve"> centuries’, </w:t>
      </w:r>
      <w:r w:rsidRPr="00BA6745">
        <w:rPr>
          <w:rFonts w:ascii="Calibri" w:hAnsi="Calibri"/>
          <w:i/>
          <w:iCs/>
          <w:sz w:val="22"/>
          <w:szCs w:val="22"/>
        </w:rPr>
        <w:t>Oxford Journal of Archaeology</w:t>
      </w:r>
      <w:r w:rsidRPr="00BA6745">
        <w:rPr>
          <w:rFonts w:ascii="Calibri" w:hAnsi="Calibri"/>
          <w:sz w:val="22"/>
          <w:szCs w:val="22"/>
        </w:rPr>
        <w:t xml:space="preserve"> 5 (1986), 77–102.</w:t>
      </w:r>
    </w:p>
    <w:p w14:paraId="687BF1C7" w14:textId="77777777" w:rsidR="005D0C7C" w:rsidRPr="00BA6745" w:rsidRDefault="005D0C7C" w:rsidP="005D0C7C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 xml:space="preserve">N. Higham, </w:t>
      </w:r>
      <w:r w:rsidRPr="00BA6745">
        <w:rPr>
          <w:rFonts w:ascii="Calibri" w:hAnsi="Calibri"/>
          <w:i/>
          <w:iCs/>
          <w:sz w:val="22"/>
          <w:szCs w:val="22"/>
        </w:rPr>
        <w:t xml:space="preserve">Rome, Britain and the Anglo-Saxons </w:t>
      </w:r>
      <w:r w:rsidRPr="00BA6745">
        <w:rPr>
          <w:rFonts w:ascii="Calibri" w:hAnsi="Calibri"/>
          <w:sz w:val="22"/>
          <w:szCs w:val="22"/>
        </w:rPr>
        <w:t>(London, 1992).</w:t>
      </w:r>
    </w:p>
    <w:p w14:paraId="678A1431" w14:textId="26BBB00D" w:rsidR="00344FA8" w:rsidRPr="00BA6745" w:rsidRDefault="00DB2B3F" w:rsidP="001617E5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>*</w:t>
      </w:r>
      <w:r w:rsidR="00344FA8" w:rsidRPr="00BA6745">
        <w:rPr>
          <w:rFonts w:ascii="Calibri" w:hAnsi="Calibri"/>
          <w:sz w:val="22"/>
          <w:szCs w:val="22"/>
        </w:rPr>
        <w:t xml:space="preserve">K.R. Dark, </w:t>
      </w:r>
      <w:r w:rsidR="00324D38" w:rsidRPr="00BA6745">
        <w:rPr>
          <w:rFonts w:ascii="Calibri" w:hAnsi="Calibri"/>
          <w:i/>
          <w:iCs/>
          <w:sz w:val="22"/>
          <w:szCs w:val="22"/>
        </w:rPr>
        <w:t>Civitas to ki</w:t>
      </w:r>
      <w:r w:rsidR="00041B5C" w:rsidRPr="00BA6745">
        <w:rPr>
          <w:rFonts w:ascii="Calibri" w:hAnsi="Calibri"/>
          <w:i/>
          <w:iCs/>
          <w:sz w:val="22"/>
          <w:szCs w:val="22"/>
        </w:rPr>
        <w:t>ngdom:</w:t>
      </w:r>
      <w:r w:rsidR="001045E8" w:rsidRPr="00BA6745">
        <w:rPr>
          <w:rFonts w:ascii="Calibri" w:hAnsi="Calibri"/>
          <w:i/>
          <w:iCs/>
          <w:sz w:val="22"/>
          <w:szCs w:val="22"/>
        </w:rPr>
        <w:t xml:space="preserve"> British p</w:t>
      </w:r>
      <w:r w:rsidR="00810D12" w:rsidRPr="00BA6745">
        <w:rPr>
          <w:rFonts w:ascii="Calibri" w:hAnsi="Calibri"/>
          <w:i/>
          <w:iCs/>
          <w:sz w:val="22"/>
          <w:szCs w:val="22"/>
        </w:rPr>
        <w:t>olitical c</w:t>
      </w:r>
      <w:r w:rsidR="00344FA8" w:rsidRPr="00BA6745">
        <w:rPr>
          <w:rFonts w:ascii="Calibri" w:hAnsi="Calibri"/>
          <w:i/>
          <w:iCs/>
          <w:sz w:val="22"/>
          <w:szCs w:val="22"/>
        </w:rPr>
        <w:t>ontinuity, 300-800</w:t>
      </w:r>
      <w:r w:rsidR="00344FA8" w:rsidRPr="00BA6745">
        <w:rPr>
          <w:rFonts w:ascii="Calibri" w:hAnsi="Calibri"/>
          <w:sz w:val="22"/>
          <w:szCs w:val="22"/>
        </w:rPr>
        <w:t xml:space="preserve"> (Leicester, 1994), chs 1-4.</w:t>
      </w:r>
    </w:p>
    <w:p w14:paraId="6A9AAFF3" w14:textId="546003D7" w:rsidR="00AB1B5A" w:rsidRPr="00BA6745" w:rsidRDefault="00AB1B5A" w:rsidP="001617E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>*</w:t>
      </w:r>
      <w:r w:rsidR="007C0DAB" w:rsidRPr="00BA6745">
        <w:rPr>
          <w:rFonts w:ascii="Calibri" w:hAnsi="Calibri"/>
          <w:sz w:val="22"/>
          <w:szCs w:val="22"/>
        </w:rPr>
        <w:t>S.T. Loseby, ‘Power and t</w:t>
      </w:r>
      <w:r w:rsidRPr="00BA6745">
        <w:rPr>
          <w:rFonts w:ascii="Calibri" w:hAnsi="Calibri"/>
          <w:sz w:val="22"/>
          <w:szCs w:val="22"/>
        </w:rPr>
        <w:t>owns in late Roman Britain and early Anglo-Saxon</w:t>
      </w:r>
      <w:r w:rsidR="006A74E3" w:rsidRPr="00BA6745">
        <w:rPr>
          <w:rFonts w:ascii="Calibri" w:hAnsi="Calibri"/>
          <w:sz w:val="22"/>
          <w:szCs w:val="22"/>
        </w:rPr>
        <w:t xml:space="preserve"> </w:t>
      </w:r>
      <w:r w:rsidRPr="00BA6745">
        <w:rPr>
          <w:rFonts w:ascii="Calibri" w:hAnsi="Calibri"/>
          <w:sz w:val="22"/>
          <w:szCs w:val="22"/>
        </w:rPr>
        <w:t>England’, in G. Ripoll and J.</w:t>
      </w:r>
      <w:r w:rsidR="00C92BEA" w:rsidRPr="00BA6745">
        <w:rPr>
          <w:rFonts w:ascii="Calibri" w:hAnsi="Calibri"/>
          <w:sz w:val="22"/>
          <w:szCs w:val="22"/>
        </w:rPr>
        <w:t xml:space="preserve"> </w:t>
      </w:r>
      <w:r w:rsidRPr="00BA6745">
        <w:rPr>
          <w:rFonts w:ascii="Calibri" w:hAnsi="Calibri"/>
          <w:sz w:val="22"/>
          <w:szCs w:val="22"/>
        </w:rPr>
        <w:t>M.</w:t>
      </w:r>
      <w:r w:rsidR="006A74E3" w:rsidRPr="00BA6745">
        <w:rPr>
          <w:rFonts w:ascii="Calibri" w:hAnsi="Calibri"/>
          <w:sz w:val="22"/>
          <w:szCs w:val="22"/>
        </w:rPr>
        <w:t xml:space="preserve"> </w:t>
      </w:r>
      <w:r w:rsidRPr="00BA6745">
        <w:rPr>
          <w:rFonts w:ascii="Calibri" w:hAnsi="Calibri"/>
          <w:sz w:val="22"/>
          <w:szCs w:val="22"/>
        </w:rPr>
        <w:t xml:space="preserve">Gurt (eds), </w:t>
      </w:r>
      <w:r w:rsidRPr="00BA6745">
        <w:rPr>
          <w:rFonts w:ascii="Calibri" w:hAnsi="Calibri"/>
          <w:i/>
          <w:iCs/>
          <w:sz w:val="22"/>
          <w:szCs w:val="22"/>
        </w:rPr>
        <w:t>Sedes Regiae</w:t>
      </w:r>
      <w:r w:rsidRPr="00BA6745">
        <w:rPr>
          <w:rFonts w:ascii="Calibri" w:hAnsi="Calibri"/>
          <w:sz w:val="22"/>
          <w:szCs w:val="22"/>
        </w:rPr>
        <w:t xml:space="preserve"> (Barcelona, 2000).</w:t>
      </w:r>
    </w:p>
    <w:p w14:paraId="6553DFE6" w14:textId="2F677C40" w:rsidR="003426A6" w:rsidRPr="00BA6745" w:rsidRDefault="00C57B58" w:rsidP="001617E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>*</w:t>
      </w:r>
      <w:r w:rsidR="003426A6" w:rsidRPr="00BA6745">
        <w:rPr>
          <w:rFonts w:ascii="Calibri" w:hAnsi="Calibri"/>
          <w:sz w:val="22"/>
          <w:szCs w:val="22"/>
        </w:rPr>
        <w:t xml:space="preserve">B. Ward-Perkins, </w:t>
      </w:r>
      <w:r w:rsidR="00123145" w:rsidRPr="00BA6745">
        <w:rPr>
          <w:rFonts w:ascii="Calibri" w:hAnsi="Calibri"/>
          <w:i/>
          <w:sz w:val="22"/>
          <w:szCs w:val="22"/>
        </w:rPr>
        <w:t xml:space="preserve">The fall of the </w:t>
      </w:r>
      <w:r w:rsidR="003C32BF" w:rsidRPr="00BA6745">
        <w:rPr>
          <w:rFonts w:ascii="Calibri" w:hAnsi="Calibri"/>
          <w:i/>
          <w:sz w:val="22"/>
          <w:szCs w:val="22"/>
        </w:rPr>
        <w:t>Rome</w:t>
      </w:r>
      <w:r w:rsidR="00123145" w:rsidRPr="00BA6745">
        <w:rPr>
          <w:rFonts w:ascii="Calibri" w:hAnsi="Calibri"/>
          <w:i/>
          <w:sz w:val="22"/>
          <w:szCs w:val="22"/>
        </w:rPr>
        <w:t xml:space="preserve"> and the end of civilization</w:t>
      </w:r>
      <w:r w:rsidR="00122AD7" w:rsidRPr="00BA6745">
        <w:rPr>
          <w:rFonts w:ascii="Calibri" w:hAnsi="Calibri"/>
          <w:sz w:val="22"/>
          <w:szCs w:val="22"/>
        </w:rPr>
        <w:t xml:space="preserve"> (Oxford, </w:t>
      </w:r>
      <w:r w:rsidR="002B50DD" w:rsidRPr="00BA6745">
        <w:rPr>
          <w:rFonts w:ascii="Calibri" w:hAnsi="Calibri"/>
          <w:sz w:val="22"/>
          <w:szCs w:val="22"/>
        </w:rPr>
        <w:t>2005)</w:t>
      </w:r>
      <w:r w:rsidR="00523EED" w:rsidRPr="00BA6745">
        <w:rPr>
          <w:rFonts w:ascii="Calibri" w:hAnsi="Calibri"/>
          <w:sz w:val="22"/>
          <w:szCs w:val="22"/>
        </w:rPr>
        <w:t>, esp. Part II. [</w:t>
      </w:r>
      <w:r w:rsidR="00523EED" w:rsidRPr="00BA6745">
        <w:rPr>
          <w:rFonts w:ascii="Calibri" w:hAnsi="Calibri"/>
          <w:i/>
          <w:sz w:val="22"/>
          <w:szCs w:val="22"/>
        </w:rPr>
        <w:t>L</w:t>
      </w:r>
      <w:r w:rsidR="00FD6173" w:rsidRPr="00BA6745">
        <w:rPr>
          <w:rFonts w:ascii="Calibri" w:hAnsi="Calibri"/>
          <w:i/>
          <w:sz w:val="22"/>
          <w:szCs w:val="22"/>
        </w:rPr>
        <w:t>ook up Britain in the index</w:t>
      </w:r>
      <w:r w:rsidR="00E16ED4" w:rsidRPr="00BA6745">
        <w:rPr>
          <w:rFonts w:ascii="Calibri" w:hAnsi="Calibri"/>
          <w:sz w:val="22"/>
          <w:szCs w:val="22"/>
        </w:rPr>
        <w:t>.</w:t>
      </w:r>
      <w:r w:rsidR="009D0B32" w:rsidRPr="00BA6745">
        <w:rPr>
          <w:rFonts w:ascii="Calibri" w:hAnsi="Calibri"/>
          <w:sz w:val="22"/>
          <w:szCs w:val="22"/>
        </w:rPr>
        <w:t>]</w:t>
      </w:r>
    </w:p>
    <w:p w14:paraId="7C8C0C1F" w14:textId="77777777" w:rsidR="00B43582" w:rsidRPr="00BA6745" w:rsidRDefault="00B43582" w:rsidP="001B56CA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BB1A3D3" w14:textId="77777777" w:rsidR="001B56CA" w:rsidRPr="00BA6745" w:rsidRDefault="001B56CA" w:rsidP="001B56CA">
      <w:pPr>
        <w:jc w:val="both"/>
        <w:rPr>
          <w:rFonts w:ascii="Calibri" w:hAnsi="Calibri"/>
          <w:b/>
          <w:bCs/>
          <w:sz w:val="22"/>
          <w:szCs w:val="22"/>
        </w:rPr>
      </w:pPr>
      <w:r w:rsidRPr="00BA6745">
        <w:rPr>
          <w:rFonts w:ascii="Calibri" w:hAnsi="Calibri"/>
          <w:b/>
          <w:bCs/>
          <w:sz w:val="22"/>
          <w:szCs w:val="22"/>
        </w:rPr>
        <w:t>Regional Studies: Wales and the North</w:t>
      </w:r>
    </w:p>
    <w:p w14:paraId="6AFC0272" w14:textId="1ED8CA23" w:rsidR="00822094" w:rsidRPr="00BA6745" w:rsidRDefault="006B732B" w:rsidP="001B56CA">
      <w:pPr>
        <w:jc w:val="both"/>
        <w:rPr>
          <w:rFonts w:ascii="Calibri" w:hAnsi="Calibri"/>
          <w:i/>
          <w:sz w:val="22"/>
          <w:szCs w:val="22"/>
        </w:rPr>
      </w:pPr>
      <w:r w:rsidRPr="00BA6745">
        <w:rPr>
          <w:rFonts w:ascii="Calibri" w:hAnsi="Calibri"/>
          <w:i/>
          <w:sz w:val="22"/>
          <w:szCs w:val="22"/>
        </w:rPr>
        <w:t>[</w:t>
      </w:r>
      <w:r w:rsidR="00F0707F" w:rsidRPr="00BA6745">
        <w:rPr>
          <w:rFonts w:ascii="Calibri" w:hAnsi="Calibri"/>
          <w:i/>
          <w:sz w:val="22"/>
          <w:szCs w:val="22"/>
        </w:rPr>
        <w:t>The presence of villas</w:t>
      </w:r>
      <w:r w:rsidR="00B50044" w:rsidRPr="00BA6745">
        <w:rPr>
          <w:rFonts w:ascii="Calibri" w:hAnsi="Calibri"/>
          <w:i/>
          <w:sz w:val="22"/>
          <w:szCs w:val="22"/>
        </w:rPr>
        <w:t xml:space="preserve"> and towns </w:t>
      </w:r>
      <w:r w:rsidR="008442F2" w:rsidRPr="00BA6745">
        <w:rPr>
          <w:rFonts w:ascii="Calibri" w:hAnsi="Calibri"/>
          <w:i/>
          <w:sz w:val="22"/>
          <w:szCs w:val="22"/>
        </w:rPr>
        <w:t xml:space="preserve">has often </w:t>
      </w:r>
      <w:r w:rsidR="00FF1F40" w:rsidRPr="00BA6745">
        <w:rPr>
          <w:rFonts w:ascii="Calibri" w:hAnsi="Calibri"/>
          <w:i/>
          <w:sz w:val="22"/>
          <w:szCs w:val="22"/>
        </w:rPr>
        <w:t xml:space="preserve">led scholars to focus on lowland southern and eastern Britain; </w:t>
      </w:r>
      <w:r w:rsidR="00400A82" w:rsidRPr="00BA6745">
        <w:rPr>
          <w:rFonts w:ascii="Calibri" w:hAnsi="Calibri"/>
          <w:i/>
          <w:sz w:val="22"/>
          <w:szCs w:val="22"/>
        </w:rPr>
        <w:t>it might be worth going to Wales and up north</w:t>
      </w:r>
      <w:r w:rsidR="002870F7" w:rsidRPr="00BA6745">
        <w:rPr>
          <w:rFonts w:ascii="Calibri" w:hAnsi="Calibri"/>
          <w:i/>
          <w:sz w:val="22"/>
          <w:szCs w:val="22"/>
        </w:rPr>
        <w:t xml:space="preserve"> for alternative perspectives </w:t>
      </w:r>
      <w:r w:rsidR="002268E1" w:rsidRPr="00BA6745">
        <w:rPr>
          <w:rFonts w:ascii="Calibri" w:hAnsi="Calibri"/>
          <w:i/>
          <w:sz w:val="22"/>
          <w:szCs w:val="22"/>
        </w:rPr>
        <w:t xml:space="preserve">on </w:t>
      </w:r>
      <w:r w:rsidR="004351FE" w:rsidRPr="00BA6745">
        <w:rPr>
          <w:rFonts w:ascii="Calibri" w:hAnsi="Calibri"/>
          <w:i/>
          <w:sz w:val="22"/>
          <w:szCs w:val="22"/>
        </w:rPr>
        <w:t>continuity/change</w:t>
      </w:r>
      <w:r w:rsidR="004A555B" w:rsidRPr="00BA6745">
        <w:rPr>
          <w:rFonts w:ascii="Calibri" w:hAnsi="Calibri"/>
          <w:i/>
          <w:sz w:val="22"/>
          <w:szCs w:val="22"/>
        </w:rPr>
        <w:t xml:space="preserve">, and to see how those populations </w:t>
      </w:r>
      <w:r w:rsidR="0093634C" w:rsidRPr="00BA6745">
        <w:rPr>
          <w:rFonts w:ascii="Calibri" w:hAnsi="Calibri"/>
          <w:i/>
          <w:sz w:val="22"/>
          <w:szCs w:val="22"/>
        </w:rPr>
        <w:t>fared</w:t>
      </w:r>
      <w:r w:rsidR="00BA76C8" w:rsidRPr="00BA6745">
        <w:rPr>
          <w:rFonts w:ascii="Calibri" w:hAnsi="Calibri"/>
          <w:i/>
          <w:sz w:val="22"/>
          <w:szCs w:val="22"/>
        </w:rPr>
        <w:t xml:space="preserve"> in the fifth and sixth centuries</w:t>
      </w:r>
      <w:r w:rsidR="00400A82" w:rsidRPr="00BA6745">
        <w:rPr>
          <w:rFonts w:ascii="Calibri" w:hAnsi="Calibri"/>
          <w:i/>
          <w:sz w:val="22"/>
          <w:szCs w:val="22"/>
        </w:rPr>
        <w:t>.</w:t>
      </w:r>
      <w:r w:rsidR="00DB55DA" w:rsidRPr="00BA6745">
        <w:rPr>
          <w:rFonts w:ascii="Calibri" w:hAnsi="Calibri"/>
          <w:i/>
          <w:sz w:val="22"/>
          <w:szCs w:val="22"/>
        </w:rPr>
        <w:t>]</w:t>
      </w:r>
      <w:r w:rsidR="003E2FCD" w:rsidRPr="00BA6745">
        <w:rPr>
          <w:rFonts w:ascii="Calibri" w:hAnsi="Calibri"/>
          <w:i/>
          <w:sz w:val="22"/>
          <w:szCs w:val="22"/>
        </w:rPr>
        <w:t xml:space="preserve"> </w:t>
      </w:r>
      <w:r w:rsidR="005E66FD" w:rsidRPr="00BA6745">
        <w:rPr>
          <w:rFonts w:ascii="Calibri" w:hAnsi="Calibri"/>
          <w:i/>
          <w:sz w:val="22"/>
          <w:szCs w:val="22"/>
        </w:rPr>
        <w:t xml:space="preserve"> </w:t>
      </w:r>
      <w:r w:rsidR="006C7E42" w:rsidRPr="00BA6745">
        <w:rPr>
          <w:rFonts w:ascii="Calibri" w:hAnsi="Calibri"/>
          <w:i/>
          <w:sz w:val="22"/>
          <w:szCs w:val="22"/>
        </w:rPr>
        <w:t xml:space="preserve"> </w:t>
      </w:r>
    </w:p>
    <w:p w14:paraId="58E6A659" w14:textId="77777777" w:rsidR="001B56CA" w:rsidRPr="00BA6745" w:rsidRDefault="001B56CA" w:rsidP="001B56CA">
      <w:pPr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 xml:space="preserve">W. Davies, </w:t>
      </w:r>
      <w:r w:rsidRPr="00BA6745">
        <w:rPr>
          <w:rFonts w:ascii="Calibri" w:hAnsi="Calibri"/>
          <w:i/>
          <w:iCs/>
          <w:sz w:val="22"/>
          <w:szCs w:val="22"/>
        </w:rPr>
        <w:t>Wales in the Early Middle Ages</w:t>
      </w:r>
      <w:r w:rsidRPr="00BA6745">
        <w:rPr>
          <w:rFonts w:ascii="Calibri" w:hAnsi="Calibri"/>
          <w:sz w:val="22"/>
          <w:szCs w:val="22"/>
        </w:rPr>
        <w:t xml:space="preserve"> (1982), ch. 4, pp. 85-102.</w:t>
      </w:r>
    </w:p>
    <w:p w14:paraId="49F7E624" w14:textId="77777777" w:rsidR="001B56CA" w:rsidRPr="00BA6745" w:rsidRDefault="001B56CA" w:rsidP="001B56CA">
      <w:pPr>
        <w:jc w:val="both"/>
        <w:rPr>
          <w:rFonts w:ascii="Calibri" w:hAnsi="Calibri"/>
          <w:bCs/>
          <w:i/>
          <w:sz w:val="22"/>
          <w:szCs w:val="22"/>
        </w:rPr>
      </w:pPr>
      <w:r w:rsidRPr="00BA6745">
        <w:rPr>
          <w:rFonts w:ascii="Calibri" w:hAnsi="Calibri"/>
          <w:bCs/>
          <w:sz w:val="22"/>
          <w:szCs w:val="22"/>
        </w:rPr>
        <w:t xml:space="preserve">R. Collins, </w:t>
      </w:r>
      <w:r w:rsidRPr="00BA6745">
        <w:rPr>
          <w:rFonts w:ascii="Calibri" w:hAnsi="Calibri"/>
          <w:bCs/>
          <w:i/>
          <w:sz w:val="22"/>
          <w:szCs w:val="22"/>
        </w:rPr>
        <w:t>Hadrian’s Wall and the end of empire: the Roman frontier in the 4</w:t>
      </w:r>
      <w:r w:rsidRPr="00BA6745">
        <w:rPr>
          <w:rFonts w:ascii="Calibri" w:hAnsi="Calibri"/>
          <w:bCs/>
          <w:i/>
          <w:sz w:val="22"/>
          <w:szCs w:val="22"/>
          <w:vertAlign w:val="superscript"/>
        </w:rPr>
        <w:t>th</w:t>
      </w:r>
      <w:r w:rsidRPr="00BA6745">
        <w:rPr>
          <w:rFonts w:ascii="Calibri" w:hAnsi="Calibri"/>
          <w:bCs/>
          <w:i/>
          <w:sz w:val="22"/>
          <w:szCs w:val="22"/>
        </w:rPr>
        <w:t xml:space="preserve"> and 5</w:t>
      </w:r>
      <w:r w:rsidRPr="00BA6745">
        <w:rPr>
          <w:rFonts w:ascii="Calibri" w:hAnsi="Calibri"/>
          <w:bCs/>
          <w:i/>
          <w:sz w:val="22"/>
          <w:szCs w:val="22"/>
          <w:vertAlign w:val="superscript"/>
        </w:rPr>
        <w:t>th</w:t>
      </w:r>
      <w:r w:rsidRPr="00BA6745">
        <w:rPr>
          <w:rFonts w:ascii="Calibri" w:hAnsi="Calibri"/>
          <w:bCs/>
          <w:i/>
          <w:sz w:val="22"/>
          <w:szCs w:val="22"/>
        </w:rPr>
        <w:t xml:space="preserve"> centuries</w:t>
      </w:r>
      <w:r w:rsidRPr="00BA6745">
        <w:rPr>
          <w:rFonts w:ascii="Calibri" w:hAnsi="Calibri"/>
          <w:bCs/>
          <w:sz w:val="22"/>
          <w:szCs w:val="22"/>
        </w:rPr>
        <w:t xml:space="preserve"> (London, 2012).</w:t>
      </w:r>
    </w:p>
    <w:p w14:paraId="75CB0228" w14:textId="77777777" w:rsidR="00433D6A" w:rsidRPr="00BA6745" w:rsidRDefault="00433D6A" w:rsidP="00E156E9">
      <w:pPr>
        <w:jc w:val="both"/>
        <w:rPr>
          <w:rFonts w:ascii="Calibri" w:hAnsi="Calibri"/>
          <w:sz w:val="22"/>
          <w:szCs w:val="22"/>
        </w:rPr>
      </w:pPr>
    </w:p>
    <w:p w14:paraId="155933A6" w14:textId="77777777" w:rsidR="0027368F" w:rsidRPr="00BA6745" w:rsidRDefault="0027368F" w:rsidP="0025450A">
      <w:pPr>
        <w:jc w:val="both"/>
        <w:rPr>
          <w:rFonts w:ascii="Calibri" w:hAnsi="Calibri"/>
          <w:b/>
          <w:bCs/>
          <w:sz w:val="22"/>
          <w:szCs w:val="22"/>
        </w:rPr>
      </w:pPr>
      <w:r w:rsidRPr="00BA6745">
        <w:rPr>
          <w:rFonts w:ascii="Calibri" w:hAnsi="Calibri"/>
          <w:b/>
          <w:bCs/>
          <w:sz w:val="22"/>
          <w:szCs w:val="22"/>
        </w:rPr>
        <w:t>The Anglo-Saxons</w:t>
      </w:r>
    </w:p>
    <w:p w14:paraId="612FC793" w14:textId="497BAC1B" w:rsidR="00F67F53" w:rsidRPr="00BA6745" w:rsidRDefault="00E22419" w:rsidP="0025450A">
      <w:pPr>
        <w:jc w:val="both"/>
        <w:rPr>
          <w:rFonts w:ascii="Calibri" w:hAnsi="Calibri"/>
          <w:bCs/>
          <w:i/>
          <w:sz w:val="22"/>
          <w:szCs w:val="22"/>
        </w:rPr>
      </w:pPr>
      <w:r w:rsidRPr="00BA6745">
        <w:rPr>
          <w:rFonts w:ascii="Calibri" w:hAnsi="Calibri"/>
          <w:bCs/>
          <w:i/>
          <w:sz w:val="22"/>
          <w:szCs w:val="22"/>
        </w:rPr>
        <w:t xml:space="preserve">[No </w:t>
      </w:r>
      <w:r w:rsidR="005C340F" w:rsidRPr="00BA6745">
        <w:rPr>
          <w:rFonts w:ascii="Calibri" w:hAnsi="Calibri"/>
          <w:bCs/>
          <w:i/>
          <w:sz w:val="22"/>
          <w:szCs w:val="22"/>
        </w:rPr>
        <w:t>reading list on</w:t>
      </w:r>
      <w:r w:rsidR="009D2E6F" w:rsidRPr="00BA6745">
        <w:rPr>
          <w:rFonts w:ascii="Calibri" w:hAnsi="Calibri"/>
          <w:bCs/>
          <w:i/>
          <w:sz w:val="22"/>
          <w:szCs w:val="22"/>
        </w:rPr>
        <w:t xml:space="preserve"> the</w:t>
      </w:r>
      <w:r w:rsidRPr="00BA6745">
        <w:rPr>
          <w:rFonts w:ascii="Calibri" w:hAnsi="Calibri"/>
          <w:bCs/>
          <w:i/>
          <w:sz w:val="22"/>
          <w:szCs w:val="22"/>
        </w:rPr>
        <w:t xml:space="preserve"> fifth- and </w:t>
      </w:r>
      <w:r w:rsidR="009D2E6F" w:rsidRPr="00BA6745">
        <w:rPr>
          <w:rFonts w:ascii="Calibri" w:hAnsi="Calibri"/>
          <w:bCs/>
          <w:i/>
          <w:sz w:val="22"/>
          <w:szCs w:val="22"/>
        </w:rPr>
        <w:t>sixth-century British Isles</w:t>
      </w:r>
      <w:r w:rsidR="00423F02" w:rsidRPr="00BA6745">
        <w:rPr>
          <w:rFonts w:ascii="Calibri" w:hAnsi="Calibri"/>
          <w:bCs/>
          <w:i/>
          <w:sz w:val="22"/>
          <w:szCs w:val="22"/>
        </w:rPr>
        <w:t xml:space="preserve"> would be complete without </w:t>
      </w:r>
      <w:r w:rsidR="00C142D0" w:rsidRPr="00BA6745">
        <w:rPr>
          <w:rFonts w:ascii="Calibri" w:hAnsi="Calibri"/>
          <w:bCs/>
          <w:i/>
          <w:sz w:val="22"/>
          <w:szCs w:val="22"/>
        </w:rPr>
        <w:t xml:space="preserve">treatments of </w:t>
      </w:r>
      <w:r w:rsidR="00953555" w:rsidRPr="00BA6745">
        <w:rPr>
          <w:rFonts w:ascii="Calibri" w:hAnsi="Calibri"/>
          <w:bCs/>
          <w:i/>
          <w:sz w:val="22"/>
          <w:szCs w:val="22"/>
        </w:rPr>
        <w:t xml:space="preserve">the </w:t>
      </w:r>
      <w:r w:rsidR="008A20A9" w:rsidRPr="00BA6745">
        <w:rPr>
          <w:rFonts w:ascii="Calibri" w:hAnsi="Calibri"/>
          <w:bCs/>
          <w:i/>
          <w:sz w:val="22"/>
          <w:szCs w:val="22"/>
        </w:rPr>
        <w:t xml:space="preserve">arrival of the Saxons </w:t>
      </w:r>
      <w:r w:rsidR="000851DB" w:rsidRPr="00BA6745">
        <w:rPr>
          <w:rFonts w:ascii="Calibri" w:hAnsi="Calibri"/>
          <w:bCs/>
          <w:sz w:val="22"/>
          <w:szCs w:val="22"/>
        </w:rPr>
        <w:t>(adventus Saxonum)</w:t>
      </w:r>
      <w:r w:rsidR="007D4AC3" w:rsidRPr="00BA6745">
        <w:rPr>
          <w:rFonts w:ascii="Calibri" w:hAnsi="Calibri"/>
          <w:bCs/>
          <w:sz w:val="22"/>
          <w:szCs w:val="22"/>
        </w:rPr>
        <w:t xml:space="preserve"> </w:t>
      </w:r>
      <w:r w:rsidR="007D4AC3" w:rsidRPr="00BA6745">
        <w:rPr>
          <w:rFonts w:ascii="Calibri" w:hAnsi="Calibri"/>
          <w:bCs/>
          <w:i/>
          <w:sz w:val="22"/>
          <w:szCs w:val="22"/>
        </w:rPr>
        <w:t>touted by Gildas and Bede</w:t>
      </w:r>
      <w:r w:rsidR="000851DB" w:rsidRPr="00BA6745">
        <w:rPr>
          <w:rFonts w:ascii="Calibri" w:hAnsi="Calibri"/>
          <w:bCs/>
          <w:i/>
          <w:sz w:val="22"/>
          <w:szCs w:val="22"/>
        </w:rPr>
        <w:t>.</w:t>
      </w:r>
      <w:r w:rsidR="00256D88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224AFA" w:rsidRPr="00BA6745">
        <w:rPr>
          <w:rFonts w:ascii="Calibri" w:hAnsi="Calibri"/>
          <w:bCs/>
          <w:i/>
          <w:sz w:val="22"/>
          <w:szCs w:val="22"/>
        </w:rPr>
        <w:t xml:space="preserve">We’ll </w:t>
      </w:r>
      <w:r w:rsidR="00532AEC" w:rsidRPr="00BA6745">
        <w:rPr>
          <w:rFonts w:ascii="Calibri" w:hAnsi="Calibri"/>
          <w:bCs/>
          <w:i/>
          <w:sz w:val="22"/>
          <w:szCs w:val="22"/>
        </w:rPr>
        <w:t>look</w:t>
      </w:r>
      <w:r w:rsidR="00EA27C3" w:rsidRPr="00BA6745">
        <w:rPr>
          <w:rFonts w:ascii="Calibri" w:hAnsi="Calibri"/>
          <w:bCs/>
          <w:i/>
          <w:sz w:val="22"/>
          <w:szCs w:val="22"/>
        </w:rPr>
        <w:t xml:space="preserve"> at</w:t>
      </w:r>
      <w:r w:rsidR="00611AAD" w:rsidRPr="00BA6745">
        <w:rPr>
          <w:rFonts w:ascii="Calibri" w:hAnsi="Calibri"/>
          <w:bCs/>
          <w:i/>
          <w:sz w:val="22"/>
          <w:szCs w:val="22"/>
        </w:rPr>
        <w:t xml:space="preserve"> the newcomers more</w:t>
      </w:r>
      <w:r w:rsidR="00AB05E2" w:rsidRPr="00BA6745">
        <w:rPr>
          <w:rFonts w:ascii="Calibri" w:hAnsi="Calibri"/>
          <w:bCs/>
          <w:i/>
          <w:sz w:val="22"/>
          <w:szCs w:val="22"/>
        </w:rPr>
        <w:t xml:space="preserve"> closely</w:t>
      </w:r>
      <w:r w:rsidR="00611AAD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133DB4" w:rsidRPr="00BA6745">
        <w:rPr>
          <w:rFonts w:ascii="Calibri" w:hAnsi="Calibri"/>
          <w:bCs/>
          <w:i/>
          <w:sz w:val="22"/>
          <w:szCs w:val="22"/>
        </w:rPr>
        <w:t>in the coming weeks;</w:t>
      </w:r>
      <w:r w:rsidR="00322CB4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85564E" w:rsidRPr="00BA6745">
        <w:rPr>
          <w:rFonts w:ascii="Calibri" w:hAnsi="Calibri"/>
          <w:bCs/>
          <w:i/>
          <w:sz w:val="22"/>
          <w:szCs w:val="22"/>
        </w:rPr>
        <w:t xml:space="preserve">for </w:t>
      </w:r>
      <w:r w:rsidR="00211BE6" w:rsidRPr="00BA6745">
        <w:rPr>
          <w:rFonts w:ascii="Calibri" w:hAnsi="Calibri"/>
          <w:bCs/>
          <w:i/>
          <w:sz w:val="22"/>
          <w:szCs w:val="22"/>
        </w:rPr>
        <w:t>these questions,</w:t>
      </w:r>
      <w:r w:rsidR="00C444A4" w:rsidRPr="00BA6745">
        <w:rPr>
          <w:rFonts w:ascii="Calibri" w:hAnsi="Calibri"/>
          <w:bCs/>
          <w:i/>
          <w:sz w:val="22"/>
          <w:szCs w:val="22"/>
        </w:rPr>
        <w:t xml:space="preserve"> it’s worth thinking about</w:t>
      </w:r>
      <w:r w:rsidR="00E539BD" w:rsidRPr="00BA6745">
        <w:rPr>
          <w:rFonts w:ascii="Calibri" w:hAnsi="Calibri"/>
          <w:bCs/>
          <w:i/>
          <w:sz w:val="22"/>
          <w:szCs w:val="22"/>
        </w:rPr>
        <w:t>: (a)</w:t>
      </w:r>
      <w:r w:rsidR="00C444A4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12599B" w:rsidRPr="00BA6745">
        <w:rPr>
          <w:rFonts w:ascii="Calibri" w:hAnsi="Calibri"/>
          <w:bCs/>
          <w:i/>
          <w:sz w:val="22"/>
          <w:szCs w:val="22"/>
        </w:rPr>
        <w:t xml:space="preserve">whether you see them </w:t>
      </w:r>
      <w:r w:rsidR="00ED0A1B" w:rsidRPr="00BA6745">
        <w:rPr>
          <w:rFonts w:ascii="Calibri" w:hAnsi="Calibri"/>
          <w:bCs/>
          <w:i/>
          <w:sz w:val="22"/>
          <w:szCs w:val="22"/>
        </w:rPr>
        <w:t xml:space="preserve">as a cause or a consequence of </w:t>
      </w:r>
      <w:r w:rsidR="003A6C04" w:rsidRPr="00BA6745">
        <w:rPr>
          <w:rFonts w:ascii="Calibri" w:hAnsi="Calibri"/>
          <w:bCs/>
          <w:i/>
          <w:sz w:val="22"/>
          <w:szCs w:val="22"/>
        </w:rPr>
        <w:t>the end of Roman Britain</w:t>
      </w:r>
      <w:r w:rsidR="00401916" w:rsidRPr="00BA6745">
        <w:rPr>
          <w:rFonts w:ascii="Calibri" w:hAnsi="Calibri"/>
          <w:bCs/>
          <w:i/>
          <w:sz w:val="22"/>
          <w:szCs w:val="22"/>
        </w:rPr>
        <w:t xml:space="preserve">; </w:t>
      </w:r>
      <w:r w:rsidR="00C241A6" w:rsidRPr="00BA6745">
        <w:rPr>
          <w:rFonts w:ascii="Calibri" w:hAnsi="Calibri"/>
          <w:bCs/>
          <w:i/>
          <w:sz w:val="22"/>
          <w:szCs w:val="22"/>
        </w:rPr>
        <w:t>(b)</w:t>
      </w:r>
      <w:r w:rsidR="00FF2CC0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4752D8" w:rsidRPr="00BA6745">
        <w:rPr>
          <w:rFonts w:ascii="Calibri" w:hAnsi="Calibri"/>
          <w:bCs/>
          <w:i/>
          <w:sz w:val="22"/>
          <w:szCs w:val="22"/>
        </w:rPr>
        <w:t xml:space="preserve">whether we can date </w:t>
      </w:r>
      <w:r w:rsidR="00162978" w:rsidRPr="00BA6745">
        <w:rPr>
          <w:rFonts w:ascii="Calibri" w:hAnsi="Calibri"/>
          <w:bCs/>
          <w:i/>
          <w:sz w:val="22"/>
          <w:szCs w:val="22"/>
        </w:rPr>
        <w:t>their arrival</w:t>
      </w:r>
      <w:r w:rsidR="00272F56" w:rsidRPr="00BA6745">
        <w:rPr>
          <w:rFonts w:ascii="Calibri" w:hAnsi="Calibri"/>
          <w:bCs/>
          <w:i/>
          <w:sz w:val="22"/>
          <w:szCs w:val="22"/>
        </w:rPr>
        <w:t xml:space="preserve"> with any certainty</w:t>
      </w:r>
      <w:r w:rsidR="00966FDB" w:rsidRPr="00BA6745">
        <w:rPr>
          <w:rFonts w:ascii="Calibri" w:hAnsi="Calibri"/>
          <w:bCs/>
          <w:i/>
          <w:sz w:val="22"/>
          <w:szCs w:val="22"/>
        </w:rPr>
        <w:t>.</w:t>
      </w:r>
      <w:r w:rsidR="00F151E6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AA4C7A" w:rsidRPr="00BA6745">
        <w:rPr>
          <w:rFonts w:ascii="Calibri" w:hAnsi="Calibri"/>
          <w:bCs/>
          <w:i/>
          <w:sz w:val="22"/>
          <w:szCs w:val="22"/>
        </w:rPr>
        <w:t xml:space="preserve">Hamerow </w:t>
      </w:r>
      <w:r w:rsidR="00711F99" w:rsidRPr="00BA6745">
        <w:rPr>
          <w:rFonts w:ascii="Calibri" w:hAnsi="Calibri"/>
          <w:bCs/>
          <w:i/>
          <w:sz w:val="22"/>
          <w:szCs w:val="22"/>
        </w:rPr>
        <w:t>is a</w:t>
      </w:r>
      <w:r w:rsidR="002E100E" w:rsidRPr="00BA6745">
        <w:rPr>
          <w:rFonts w:ascii="Calibri" w:hAnsi="Calibri"/>
          <w:bCs/>
          <w:i/>
          <w:sz w:val="22"/>
          <w:szCs w:val="22"/>
        </w:rPr>
        <w:t xml:space="preserve"> concise guide to </w:t>
      </w:r>
      <w:r w:rsidR="001858BC" w:rsidRPr="00BA6745">
        <w:rPr>
          <w:rFonts w:ascii="Calibri" w:hAnsi="Calibri"/>
          <w:bCs/>
          <w:i/>
          <w:sz w:val="22"/>
          <w:szCs w:val="22"/>
        </w:rPr>
        <w:t xml:space="preserve">some </w:t>
      </w:r>
      <w:r w:rsidR="00882AC4" w:rsidRPr="00BA6745">
        <w:rPr>
          <w:rFonts w:ascii="Calibri" w:hAnsi="Calibri"/>
          <w:bCs/>
          <w:i/>
          <w:sz w:val="22"/>
          <w:szCs w:val="22"/>
        </w:rPr>
        <w:t xml:space="preserve">major archaeological debates; </w:t>
      </w:r>
      <w:r w:rsidR="001A3F88" w:rsidRPr="00BA6745">
        <w:rPr>
          <w:rFonts w:ascii="Calibri" w:hAnsi="Calibri"/>
          <w:bCs/>
          <w:i/>
          <w:sz w:val="22"/>
          <w:szCs w:val="22"/>
        </w:rPr>
        <w:t xml:space="preserve">Ward-Perkins a </w:t>
      </w:r>
      <w:r w:rsidR="0000182E" w:rsidRPr="00BA6745">
        <w:rPr>
          <w:rFonts w:ascii="Calibri" w:hAnsi="Calibri"/>
          <w:bCs/>
          <w:i/>
          <w:sz w:val="22"/>
          <w:szCs w:val="22"/>
        </w:rPr>
        <w:t xml:space="preserve">trenchant think-piece; </w:t>
      </w:r>
      <w:r w:rsidR="00DD380E" w:rsidRPr="00BA6745">
        <w:rPr>
          <w:rFonts w:ascii="Calibri" w:hAnsi="Calibri"/>
          <w:bCs/>
          <w:i/>
          <w:sz w:val="22"/>
          <w:szCs w:val="22"/>
        </w:rPr>
        <w:t>Halsall</w:t>
      </w:r>
      <w:r w:rsidR="000A2E57" w:rsidRPr="00BA6745">
        <w:rPr>
          <w:rFonts w:ascii="Calibri" w:hAnsi="Calibri"/>
          <w:bCs/>
          <w:i/>
          <w:sz w:val="22"/>
          <w:szCs w:val="22"/>
        </w:rPr>
        <w:t xml:space="preserve">’s recent </w:t>
      </w:r>
      <w:r w:rsidR="00EF0754" w:rsidRPr="00BA6745">
        <w:rPr>
          <w:rFonts w:ascii="Calibri" w:hAnsi="Calibri"/>
          <w:bCs/>
          <w:i/>
          <w:sz w:val="22"/>
          <w:szCs w:val="22"/>
        </w:rPr>
        <w:t xml:space="preserve">popular </w:t>
      </w:r>
      <w:r w:rsidR="000A2E57" w:rsidRPr="00BA6745">
        <w:rPr>
          <w:rFonts w:ascii="Calibri" w:hAnsi="Calibri"/>
          <w:bCs/>
          <w:i/>
          <w:sz w:val="22"/>
          <w:szCs w:val="22"/>
        </w:rPr>
        <w:t xml:space="preserve">book </w:t>
      </w:r>
      <w:r w:rsidR="008671CF" w:rsidRPr="00BA6745">
        <w:rPr>
          <w:rFonts w:ascii="Calibri" w:hAnsi="Calibri"/>
          <w:bCs/>
          <w:i/>
          <w:sz w:val="22"/>
          <w:szCs w:val="22"/>
        </w:rPr>
        <w:t xml:space="preserve">is a provocative </w:t>
      </w:r>
      <w:r w:rsidR="009E1726" w:rsidRPr="00BA6745">
        <w:rPr>
          <w:rFonts w:ascii="Calibri" w:hAnsi="Calibri"/>
          <w:bCs/>
          <w:i/>
          <w:sz w:val="22"/>
          <w:szCs w:val="22"/>
        </w:rPr>
        <w:t>reinterpretation of both</w:t>
      </w:r>
      <w:r w:rsidR="00FE2E0B" w:rsidRPr="00BA6745">
        <w:rPr>
          <w:rFonts w:ascii="Calibri" w:hAnsi="Calibri"/>
          <w:bCs/>
          <w:i/>
          <w:sz w:val="22"/>
          <w:szCs w:val="22"/>
        </w:rPr>
        <w:t xml:space="preserve"> Gildas</w:t>
      </w:r>
      <w:r w:rsidR="00F5560F" w:rsidRPr="00BA6745">
        <w:rPr>
          <w:rFonts w:ascii="Calibri" w:hAnsi="Calibri"/>
          <w:bCs/>
          <w:i/>
          <w:sz w:val="22"/>
          <w:szCs w:val="22"/>
        </w:rPr>
        <w:t>’ narrative</w:t>
      </w:r>
      <w:r w:rsidR="00FE2E0B" w:rsidRPr="00BA6745">
        <w:rPr>
          <w:rFonts w:ascii="Calibri" w:hAnsi="Calibri"/>
          <w:bCs/>
          <w:i/>
          <w:sz w:val="22"/>
          <w:szCs w:val="22"/>
        </w:rPr>
        <w:t xml:space="preserve"> and the</w:t>
      </w:r>
      <w:r w:rsidR="009E1726" w:rsidRPr="00BA6745">
        <w:rPr>
          <w:rFonts w:ascii="Calibri" w:hAnsi="Calibri"/>
          <w:bCs/>
          <w:i/>
          <w:sz w:val="22"/>
          <w:szCs w:val="22"/>
        </w:rPr>
        <w:t xml:space="preserve"> </w:t>
      </w:r>
      <w:r w:rsidR="0054259A" w:rsidRPr="00BA6745">
        <w:rPr>
          <w:rFonts w:ascii="Calibri" w:hAnsi="Calibri"/>
          <w:bCs/>
          <w:i/>
          <w:sz w:val="22"/>
          <w:szCs w:val="22"/>
        </w:rPr>
        <w:t xml:space="preserve">excavated burials which </w:t>
      </w:r>
      <w:r w:rsidR="008D0470" w:rsidRPr="00BA6745">
        <w:rPr>
          <w:rFonts w:ascii="Calibri" w:hAnsi="Calibri"/>
          <w:bCs/>
          <w:i/>
          <w:sz w:val="22"/>
          <w:szCs w:val="22"/>
        </w:rPr>
        <w:t xml:space="preserve">are normally seen as </w:t>
      </w:r>
      <w:r w:rsidR="00395627" w:rsidRPr="00BA6745">
        <w:rPr>
          <w:rFonts w:ascii="Calibri" w:hAnsi="Calibri"/>
          <w:bCs/>
          <w:i/>
          <w:sz w:val="22"/>
          <w:szCs w:val="22"/>
        </w:rPr>
        <w:t xml:space="preserve">belonging to </w:t>
      </w:r>
      <w:r w:rsidR="00D55908" w:rsidRPr="00BA6745">
        <w:rPr>
          <w:rFonts w:ascii="Calibri" w:hAnsi="Calibri"/>
          <w:bCs/>
          <w:i/>
          <w:sz w:val="22"/>
          <w:szCs w:val="22"/>
        </w:rPr>
        <w:t>‘Anglo-Saxons’</w:t>
      </w:r>
      <w:r w:rsidR="00F41CF5" w:rsidRPr="00BA6745">
        <w:rPr>
          <w:rFonts w:ascii="Calibri" w:hAnsi="Calibri"/>
          <w:bCs/>
          <w:i/>
          <w:sz w:val="22"/>
          <w:szCs w:val="22"/>
        </w:rPr>
        <w:t>.</w:t>
      </w:r>
      <w:r w:rsidR="000774F9" w:rsidRPr="00BA6745">
        <w:rPr>
          <w:rFonts w:ascii="Calibri" w:hAnsi="Calibri"/>
          <w:bCs/>
          <w:i/>
          <w:sz w:val="22"/>
          <w:szCs w:val="22"/>
        </w:rPr>
        <w:t xml:space="preserve"> What does the latter suggest about our </w:t>
      </w:r>
      <w:r w:rsidR="0045646F" w:rsidRPr="00BA6745">
        <w:rPr>
          <w:rFonts w:ascii="Calibri" w:hAnsi="Calibri"/>
          <w:bCs/>
          <w:i/>
          <w:sz w:val="22"/>
          <w:szCs w:val="22"/>
        </w:rPr>
        <w:t xml:space="preserve">capacity to date and locate </w:t>
      </w:r>
      <w:r w:rsidR="00A844A0" w:rsidRPr="00BA6745">
        <w:rPr>
          <w:rFonts w:ascii="Calibri" w:hAnsi="Calibri"/>
          <w:bCs/>
          <w:i/>
          <w:sz w:val="22"/>
          <w:szCs w:val="22"/>
        </w:rPr>
        <w:t>these new arrivals</w:t>
      </w:r>
      <w:r w:rsidR="001E5626" w:rsidRPr="00BA6745">
        <w:rPr>
          <w:rFonts w:ascii="Calibri" w:hAnsi="Calibri"/>
          <w:bCs/>
          <w:i/>
          <w:sz w:val="22"/>
          <w:szCs w:val="22"/>
        </w:rPr>
        <w:t>?</w:t>
      </w:r>
      <w:r w:rsidR="00966FDB" w:rsidRPr="00BA6745">
        <w:rPr>
          <w:rFonts w:ascii="Calibri" w:hAnsi="Calibri"/>
          <w:bCs/>
          <w:i/>
          <w:sz w:val="22"/>
          <w:szCs w:val="22"/>
        </w:rPr>
        <w:t>]</w:t>
      </w:r>
    </w:p>
    <w:p w14:paraId="39303B5A" w14:textId="74B6D7EA" w:rsidR="0027368F" w:rsidRPr="00BA6745" w:rsidRDefault="0027368F" w:rsidP="0025450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>H. Hamerow, ‘Migration theory and the Anglo-Saxon identity crisis’, in H.</w:t>
      </w:r>
      <w:r w:rsidR="0025450A" w:rsidRPr="00BA6745">
        <w:rPr>
          <w:rFonts w:ascii="Calibri" w:hAnsi="Calibri"/>
          <w:sz w:val="22"/>
          <w:szCs w:val="22"/>
        </w:rPr>
        <w:t xml:space="preserve"> </w:t>
      </w:r>
      <w:r w:rsidRPr="00BA6745">
        <w:rPr>
          <w:rFonts w:ascii="Calibri" w:hAnsi="Calibri"/>
          <w:sz w:val="22"/>
          <w:szCs w:val="22"/>
        </w:rPr>
        <w:t xml:space="preserve">Hamerow and J. Chapman (eds.), </w:t>
      </w:r>
      <w:r w:rsidR="008101B6" w:rsidRPr="00BA6745">
        <w:rPr>
          <w:rFonts w:ascii="Calibri" w:hAnsi="Calibri"/>
          <w:i/>
          <w:iCs/>
          <w:sz w:val="22"/>
          <w:szCs w:val="22"/>
        </w:rPr>
        <w:t>Migrations and invasions in archaeological e</w:t>
      </w:r>
      <w:r w:rsidRPr="00BA6745">
        <w:rPr>
          <w:rFonts w:ascii="Calibri" w:hAnsi="Calibri"/>
          <w:i/>
          <w:iCs/>
          <w:sz w:val="22"/>
          <w:szCs w:val="22"/>
        </w:rPr>
        <w:t>xplanation</w:t>
      </w:r>
      <w:r w:rsidRPr="00BA6745">
        <w:rPr>
          <w:rFonts w:ascii="Calibri" w:hAnsi="Calibri"/>
          <w:sz w:val="22"/>
          <w:szCs w:val="22"/>
        </w:rPr>
        <w:t xml:space="preserve"> (Oxford, 1997</w:t>
      </w:r>
      <w:r w:rsidR="0025450A" w:rsidRPr="00BA6745">
        <w:rPr>
          <w:rFonts w:ascii="Calibri" w:hAnsi="Calibri"/>
          <w:sz w:val="22"/>
          <w:szCs w:val="22"/>
        </w:rPr>
        <w:t>).</w:t>
      </w:r>
    </w:p>
    <w:p w14:paraId="7D9F454D" w14:textId="24885032" w:rsidR="0027368F" w:rsidRPr="00BA6745" w:rsidRDefault="005900B3" w:rsidP="0025450A">
      <w:pPr>
        <w:jc w:val="both"/>
        <w:rPr>
          <w:rFonts w:ascii="Calibri" w:hAnsi="Calibri"/>
          <w:i/>
          <w:iCs/>
          <w:sz w:val="22"/>
          <w:szCs w:val="22"/>
        </w:rPr>
      </w:pPr>
      <w:r w:rsidRPr="00BA6745">
        <w:rPr>
          <w:rFonts w:ascii="Calibri" w:hAnsi="Calibri"/>
          <w:sz w:val="22"/>
          <w:szCs w:val="22"/>
        </w:rPr>
        <w:t>*</w:t>
      </w:r>
      <w:r w:rsidR="0027368F" w:rsidRPr="00BA6745">
        <w:rPr>
          <w:rFonts w:ascii="Calibri" w:hAnsi="Calibri"/>
          <w:sz w:val="22"/>
          <w:szCs w:val="22"/>
        </w:rPr>
        <w:t xml:space="preserve">B. Ward-Perkins, ‘Why did the Anglo-Saxons not become more British?’, </w:t>
      </w:r>
      <w:r w:rsidR="0027368F" w:rsidRPr="00BA6745">
        <w:rPr>
          <w:rFonts w:ascii="Calibri" w:hAnsi="Calibri"/>
          <w:i/>
          <w:iCs/>
          <w:sz w:val="22"/>
          <w:szCs w:val="22"/>
        </w:rPr>
        <w:t>English Historical Review</w:t>
      </w:r>
      <w:r w:rsidR="0027368F" w:rsidRPr="00BA6745">
        <w:rPr>
          <w:rFonts w:ascii="Calibri" w:hAnsi="Calibri"/>
          <w:sz w:val="22"/>
          <w:szCs w:val="22"/>
        </w:rPr>
        <w:t xml:space="preserve"> 115 (2000) [available online via SOLO].</w:t>
      </w:r>
    </w:p>
    <w:p w14:paraId="7AF8AC26" w14:textId="5F2FD677" w:rsidR="00530BA3" w:rsidRDefault="00111608" w:rsidP="00E156E9">
      <w:pPr>
        <w:jc w:val="both"/>
        <w:rPr>
          <w:rFonts w:ascii="Calibri" w:hAnsi="Calibri"/>
          <w:bCs/>
          <w:sz w:val="22"/>
          <w:szCs w:val="22"/>
        </w:rPr>
      </w:pPr>
      <w:r w:rsidRPr="00BA6745">
        <w:rPr>
          <w:rFonts w:ascii="Calibri" w:hAnsi="Calibri"/>
          <w:bCs/>
          <w:sz w:val="22"/>
          <w:szCs w:val="22"/>
        </w:rPr>
        <w:t>G. Halsall,</w:t>
      </w:r>
      <w:r w:rsidR="007D28CC" w:rsidRPr="00BA6745">
        <w:rPr>
          <w:rFonts w:ascii="Calibri" w:hAnsi="Calibri"/>
          <w:bCs/>
          <w:sz w:val="22"/>
          <w:szCs w:val="22"/>
        </w:rPr>
        <w:t xml:space="preserve"> </w:t>
      </w:r>
      <w:r w:rsidR="007D28CC" w:rsidRPr="00BA6745">
        <w:rPr>
          <w:rFonts w:ascii="Calibri" w:hAnsi="Calibri"/>
          <w:bCs/>
          <w:i/>
          <w:sz w:val="22"/>
          <w:szCs w:val="22"/>
        </w:rPr>
        <w:t>Worlds of Arthur</w:t>
      </w:r>
      <w:r w:rsidR="00B359CC" w:rsidRPr="00BA6745">
        <w:rPr>
          <w:rFonts w:ascii="Calibri" w:hAnsi="Calibri"/>
          <w:bCs/>
          <w:i/>
          <w:sz w:val="22"/>
          <w:szCs w:val="22"/>
        </w:rPr>
        <w:t xml:space="preserve">: facts and fictions of </w:t>
      </w:r>
      <w:r w:rsidR="00DF2E82" w:rsidRPr="00BA6745">
        <w:rPr>
          <w:rFonts w:ascii="Calibri" w:hAnsi="Calibri"/>
          <w:bCs/>
          <w:i/>
          <w:sz w:val="22"/>
          <w:szCs w:val="22"/>
        </w:rPr>
        <w:t>the Dark Ages</w:t>
      </w:r>
      <w:r w:rsidR="00966019" w:rsidRPr="00BA6745">
        <w:rPr>
          <w:rFonts w:ascii="Calibri" w:hAnsi="Calibri"/>
          <w:bCs/>
          <w:sz w:val="22"/>
          <w:szCs w:val="22"/>
        </w:rPr>
        <w:t xml:space="preserve"> (Oxford,</w:t>
      </w:r>
      <w:r w:rsidR="00DB7D0A" w:rsidRPr="00BA6745">
        <w:rPr>
          <w:rFonts w:ascii="Calibri" w:hAnsi="Calibri"/>
          <w:bCs/>
          <w:sz w:val="22"/>
          <w:szCs w:val="22"/>
        </w:rPr>
        <w:t xml:space="preserve"> 2013), </w:t>
      </w:r>
      <w:r w:rsidR="00131CF5" w:rsidRPr="00BA6745">
        <w:rPr>
          <w:rFonts w:ascii="Calibri" w:hAnsi="Calibri"/>
          <w:bCs/>
          <w:sz w:val="22"/>
          <w:szCs w:val="22"/>
        </w:rPr>
        <w:t xml:space="preserve">pp. </w:t>
      </w:r>
      <w:r w:rsidR="00C868EE" w:rsidRPr="00BA6745">
        <w:rPr>
          <w:rFonts w:ascii="Calibri" w:hAnsi="Calibri"/>
          <w:bCs/>
          <w:sz w:val="22"/>
          <w:szCs w:val="22"/>
        </w:rPr>
        <w:t>184-94, 215-52.</w:t>
      </w:r>
    </w:p>
    <w:p w14:paraId="3D021597" w14:textId="77777777" w:rsidR="004D3B5E" w:rsidRDefault="004D3B5E" w:rsidP="00E156E9">
      <w:pPr>
        <w:jc w:val="both"/>
        <w:rPr>
          <w:rFonts w:ascii="Calibri" w:hAnsi="Calibri"/>
          <w:bCs/>
          <w:sz w:val="22"/>
          <w:szCs w:val="22"/>
        </w:rPr>
      </w:pPr>
    </w:p>
    <w:p w14:paraId="1403207E" w14:textId="0D202EA3" w:rsidR="004D3B5E" w:rsidRDefault="004D3B5E" w:rsidP="00E156E9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Good luck!</w:t>
      </w:r>
    </w:p>
    <w:p w14:paraId="01B9DD3E" w14:textId="77777777" w:rsidR="00A86977" w:rsidRDefault="00A86977" w:rsidP="00E156E9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Robin Whelan</w:t>
      </w:r>
    </w:p>
    <w:p w14:paraId="5702450F" w14:textId="52693E62" w:rsidR="004D3B5E" w:rsidRPr="00BA6745" w:rsidRDefault="004D3B5E" w:rsidP="00E156E9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(robin.whelan@history.ox.ac.uk)</w:t>
      </w:r>
    </w:p>
    <w:sectPr w:rsidR="004D3B5E" w:rsidRPr="00BA6745" w:rsidSect="00604224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7FF77" w14:textId="77777777" w:rsidR="00F55804" w:rsidRDefault="00F55804" w:rsidP="0027368F">
      <w:r>
        <w:separator/>
      </w:r>
    </w:p>
  </w:endnote>
  <w:endnote w:type="continuationSeparator" w:id="0">
    <w:p w14:paraId="4C37E9A1" w14:textId="77777777" w:rsidR="00F55804" w:rsidRDefault="00F55804" w:rsidP="0027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12CBC" w14:textId="77777777" w:rsidR="00F55804" w:rsidRDefault="00F55804" w:rsidP="0027368F">
      <w:r>
        <w:separator/>
      </w:r>
    </w:p>
  </w:footnote>
  <w:footnote w:type="continuationSeparator" w:id="0">
    <w:p w14:paraId="5CFFDE0B" w14:textId="77777777" w:rsidR="00F55804" w:rsidRDefault="00F55804" w:rsidP="002736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07AF7" w14:textId="77777777" w:rsidR="00F55804" w:rsidRPr="00BA6745" w:rsidRDefault="00F55804">
    <w:pPr>
      <w:pStyle w:val="Header"/>
      <w:rPr>
        <w:rFonts w:ascii="Calibri" w:hAnsi="Calibri"/>
        <w:b/>
      </w:rPr>
    </w:pPr>
    <w:r w:rsidRPr="00BA6745">
      <w:rPr>
        <w:rFonts w:ascii="Calibri" w:hAnsi="Calibri"/>
        <w:b/>
      </w:rPr>
      <w:t>Prelims History of the British Isles I (c. 300-1087)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1EEE"/>
    <w:multiLevelType w:val="hybridMultilevel"/>
    <w:tmpl w:val="A5F67BE0"/>
    <w:lvl w:ilvl="0" w:tplc="197E4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8F"/>
    <w:rsid w:val="0000182E"/>
    <w:rsid w:val="0000737E"/>
    <w:rsid w:val="000203E9"/>
    <w:rsid w:val="00025E1D"/>
    <w:rsid w:val="000327A6"/>
    <w:rsid w:val="0003470F"/>
    <w:rsid w:val="00036EFE"/>
    <w:rsid w:val="00041B5C"/>
    <w:rsid w:val="00046E83"/>
    <w:rsid w:val="00051680"/>
    <w:rsid w:val="00051BA2"/>
    <w:rsid w:val="00055559"/>
    <w:rsid w:val="000621A8"/>
    <w:rsid w:val="000725F6"/>
    <w:rsid w:val="000774F9"/>
    <w:rsid w:val="000851DB"/>
    <w:rsid w:val="000A0F7E"/>
    <w:rsid w:val="000A270E"/>
    <w:rsid w:val="000A2E57"/>
    <w:rsid w:val="000C0A75"/>
    <w:rsid w:val="000C11DC"/>
    <w:rsid w:val="000D376A"/>
    <w:rsid w:val="000D4DF0"/>
    <w:rsid w:val="000D7FB7"/>
    <w:rsid w:val="000E5C41"/>
    <w:rsid w:val="00100BB3"/>
    <w:rsid w:val="001045E8"/>
    <w:rsid w:val="00110CE4"/>
    <w:rsid w:val="00111608"/>
    <w:rsid w:val="00122AD7"/>
    <w:rsid w:val="00123145"/>
    <w:rsid w:val="0012599B"/>
    <w:rsid w:val="00127CB5"/>
    <w:rsid w:val="00131CF5"/>
    <w:rsid w:val="00133DB4"/>
    <w:rsid w:val="0013759A"/>
    <w:rsid w:val="00152EC4"/>
    <w:rsid w:val="00156F5F"/>
    <w:rsid w:val="001617E5"/>
    <w:rsid w:val="00161B51"/>
    <w:rsid w:val="00162978"/>
    <w:rsid w:val="001766F4"/>
    <w:rsid w:val="00181204"/>
    <w:rsid w:val="001858BC"/>
    <w:rsid w:val="001911BE"/>
    <w:rsid w:val="00192DC5"/>
    <w:rsid w:val="00194F95"/>
    <w:rsid w:val="001A3F88"/>
    <w:rsid w:val="001B1D1A"/>
    <w:rsid w:val="001B20C1"/>
    <w:rsid w:val="001B3713"/>
    <w:rsid w:val="001B534F"/>
    <w:rsid w:val="001B56CA"/>
    <w:rsid w:val="001C01A2"/>
    <w:rsid w:val="001C6B1A"/>
    <w:rsid w:val="001C7CB2"/>
    <w:rsid w:val="001D7A19"/>
    <w:rsid w:val="001E04DB"/>
    <w:rsid w:val="001E5626"/>
    <w:rsid w:val="001E57BF"/>
    <w:rsid w:val="001F29BD"/>
    <w:rsid w:val="001F476F"/>
    <w:rsid w:val="00210DAD"/>
    <w:rsid w:val="00211AE6"/>
    <w:rsid w:val="00211BE6"/>
    <w:rsid w:val="002138E0"/>
    <w:rsid w:val="00217024"/>
    <w:rsid w:val="00224AFA"/>
    <w:rsid w:val="002268E1"/>
    <w:rsid w:val="00226F20"/>
    <w:rsid w:val="0024004F"/>
    <w:rsid w:val="00242BFB"/>
    <w:rsid w:val="00245375"/>
    <w:rsid w:val="00247D27"/>
    <w:rsid w:val="00252454"/>
    <w:rsid w:val="0025450A"/>
    <w:rsid w:val="00256D88"/>
    <w:rsid w:val="002627ED"/>
    <w:rsid w:val="002653D5"/>
    <w:rsid w:val="002708C1"/>
    <w:rsid w:val="00272F56"/>
    <w:rsid w:val="0027368F"/>
    <w:rsid w:val="00281B0A"/>
    <w:rsid w:val="0028271F"/>
    <w:rsid w:val="002870F7"/>
    <w:rsid w:val="002916D3"/>
    <w:rsid w:val="002919CD"/>
    <w:rsid w:val="002952D4"/>
    <w:rsid w:val="002B50DD"/>
    <w:rsid w:val="002B6018"/>
    <w:rsid w:val="002C1995"/>
    <w:rsid w:val="002D669E"/>
    <w:rsid w:val="002D6B6B"/>
    <w:rsid w:val="002E100E"/>
    <w:rsid w:val="002F0CA0"/>
    <w:rsid w:val="002F24E4"/>
    <w:rsid w:val="002F415B"/>
    <w:rsid w:val="002F732A"/>
    <w:rsid w:val="00304956"/>
    <w:rsid w:val="0030700D"/>
    <w:rsid w:val="003136E5"/>
    <w:rsid w:val="0032002B"/>
    <w:rsid w:val="00321414"/>
    <w:rsid w:val="003224CF"/>
    <w:rsid w:val="00322CB4"/>
    <w:rsid w:val="00324D38"/>
    <w:rsid w:val="00332E35"/>
    <w:rsid w:val="00335DF5"/>
    <w:rsid w:val="0034147A"/>
    <w:rsid w:val="00341A70"/>
    <w:rsid w:val="003426A6"/>
    <w:rsid w:val="00344FA8"/>
    <w:rsid w:val="00351D03"/>
    <w:rsid w:val="00366AB6"/>
    <w:rsid w:val="003714AC"/>
    <w:rsid w:val="00375D2A"/>
    <w:rsid w:val="00392428"/>
    <w:rsid w:val="00395627"/>
    <w:rsid w:val="003A6647"/>
    <w:rsid w:val="003A6C04"/>
    <w:rsid w:val="003B1D42"/>
    <w:rsid w:val="003B2E6A"/>
    <w:rsid w:val="003C22FA"/>
    <w:rsid w:val="003C32BF"/>
    <w:rsid w:val="003C51CD"/>
    <w:rsid w:val="003D478F"/>
    <w:rsid w:val="003D77E8"/>
    <w:rsid w:val="003E25A8"/>
    <w:rsid w:val="003E2FCD"/>
    <w:rsid w:val="003F3011"/>
    <w:rsid w:val="003F5BEA"/>
    <w:rsid w:val="00400A82"/>
    <w:rsid w:val="0040119D"/>
    <w:rsid w:val="004015BB"/>
    <w:rsid w:val="00401916"/>
    <w:rsid w:val="00401EAD"/>
    <w:rsid w:val="0040399F"/>
    <w:rsid w:val="004138DA"/>
    <w:rsid w:val="00414C0C"/>
    <w:rsid w:val="004167DE"/>
    <w:rsid w:val="00423F02"/>
    <w:rsid w:val="00426B2B"/>
    <w:rsid w:val="00433D6A"/>
    <w:rsid w:val="004351FE"/>
    <w:rsid w:val="004429A7"/>
    <w:rsid w:val="00447CE0"/>
    <w:rsid w:val="0045646F"/>
    <w:rsid w:val="0047366F"/>
    <w:rsid w:val="004752D8"/>
    <w:rsid w:val="00476FED"/>
    <w:rsid w:val="004775CC"/>
    <w:rsid w:val="00477A12"/>
    <w:rsid w:val="00477D3A"/>
    <w:rsid w:val="0048039A"/>
    <w:rsid w:val="004917A2"/>
    <w:rsid w:val="00493043"/>
    <w:rsid w:val="00496E1D"/>
    <w:rsid w:val="004A555B"/>
    <w:rsid w:val="004B408D"/>
    <w:rsid w:val="004B59A0"/>
    <w:rsid w:val="004B691C"/>
    <w:rsid w:val="004C7054"/>
    <w:rsid w:val="004D3B5E"/>
    <w:rsid w:val="004E50B0"/>
    <w:rsid w:val="004E54C7"/>
    <w:rsid w:val="004E5A12"/>
    <w:rsid w:val="004F2E37"/>
    <w:rsid w:val="004F3F29"/>
    <w:rsid w:val="004F6407"/>
    <w:rsid w:val="004F68C3"/>
    <w:rsid w:val="0050660F"/>
    <w:rsid w:val="00522CFE"/>
    <w:rsid w:val="00523EED"/>
    <w:rsid w:val="005246AB"/>
    <w:rsid w:val="0052798F"/>
    <w:rsid w:val="00530BA3"/>
    <w:rsid w:val="00532AEC"/>
    <w:rsid w:val="00537B59"/>
    <w:rsid w:val="0054226E"/>
    <w:rsid w:val="0054259A"/>
    <w:rsid w:val="00552EED"/>
    <w:rsid w:val="00570701"/>
    <w:rsid w:val="0057533B"/>
    <w:rsid w:val="00581A44"/>
    <w:rsid w:val="00581D9C"/>
    <w:rsid w:val="005825D2"/>
    <w:rsid w:val="005900B3"/>
    <w:rsid w:val="00597300"/>
    <w:rsid w:val="005A2049"/>
    <w:rsid w:val="005A3EFE"/>
    <w:rsid w:val="005A667C"/>
    <w:rsid w:val="005B052D"/>
    <w:rsid w:val="005B0D46"/>
    <w:rsid w:val="005B298C"/>
    <w:rsid w:val="005B7739"/>
    <w:rsid w:val="005C3281"/>
    <w:rsid w:val="005C340F"/>
    <w:rsid w:val="005D0C7C"/>
    <w:rsid w:val="005D279F"/>
    <w:rsid w:val="005D2851"/>
    <w:rsid w:val="005D3F6F"/>
    <w:rsid w:val="005E66FD"/>
    <w:rsid w:val="005F2811"/>
    <w:rsid w:val="0060164D"/>
    <w:rsid w:val="00604224"/>
    <w:rsid w:val="00607469"/>
    <w:rsid w:val="00611AAD"/>
    <w:rsid w:val="00611ED4"/>
    <w:rsid w:val="00630123"/>
    <w:rsid w:val="00634B44"/>
    <w:rsid w:val="00636AB1"/>
    <w:rsid w:val="00640528"/>
    <w:rsid w:val="00651D06"/>
    <w:rsid w:val="00685922"/>
    <w:rsid w:val="00690EFB"/>
    <w:rsid w:val="00693090"/>
    <w:rsid w:val="00695140"/>
    <w:rsid w:val="006A1896"/>
    <w:rsid w:val="006A74E3"/>
    <w:rsid w:val="006B4407"/>
    <w:rsid w:val="006B732B"/>
    <w:rsid w:val="006C3E7A"/>
    <w:rsid w:val="006C7E42"/>
    <w:rsid w:val="006E6DC5"/>
    <w:rsid w:val="006E7B89"/>
    <w:rsid w:val="006E7E67"/>
    <w:rsid w:val="006F103D"/>
    <w:rsid w:val="006F1B2E"/>
    <w:rsid w:val="007061FB"/>
    <w:rsid w:val="00711F99"/>
    <w:rsid w:val="00712BDB"/>
    <w:rsid w:val="00712C8F"/>
    <w:rsid w:val="00712CDC"/>
    <w:rsid w:val="007145DF"/>
    <w:rsid w:val="00715662"/>
    <w:rsid w:val="0071567C"/>
    <w:rsid w:val="0073355E"/>
    <w:rsid w:val="00735233"/>
    <w:rsid w:val="0074533E"/>
    <w:rsid w:val="007531C6"/>
    <w:rsid w:val="00756079"/>
    <w:rsid w:val="007629C4"/>
    <w:rsid w:val="00763435"/>
    <w:rsid w:val="00777F46"/>
    <w:rsid w:val="007832B2"/>
    <w:rsid w:val="007857B8"/>
    <w:rsid w:val="00793B77"/>
    <w:rsid w:val="007A3CDA"/>
    <w:rsid w:val="007A42BE"/>
    <w:rsid w:val="007B0749"/>
    <w:rsid w:val="007B4069"/>
    <w:rsid w:val="007C0DAB"/>
    <w:rsid w:val="007C1950"/>
    <w:rsid w:val="007D28CC"/>
    <w:rsid w:val="007D4AC3"/>
    <w:rsid w:val="007F7D79"/>
    <w:rsid w:val="008031A7"/>
    <w:rsid w:val="008101B6"/>
    <w:rsid w:val="00810D12"/>
    <w:rsid w:val="0081243D"/>
    <w:rsid w:val="00816B07"/>
    <w:rsid w:val="00822094"/>
    <w:rsid w:val="00822A10"/>
    <w:rsid w:val="00841E4C"/>
    <w:rsid w:val="008442F2"/>
    <w:rsid w:val="00847974"/>
    <w:rsid w:val="008509DB"/>
    <w:rsid w:val="00852F6F"/>
    <w:rsid w:val="0085422B"/>
    <w:rsid w:val="0085564E"/>
    <w:rsid w:val="00866384"/>
    <w:rsid w:val="008671CF"/>
    <w:rsid w:val="00871160"/>
    <w:rsid w:val="00882AC4"/>
    <w:rsid w:val="008969C7"/>
    <w:rsid w:val="00896AB8"/>
    <w:rsid w:val="008A1947"/>
    <w:rsid w:val="008A20A9"/>
    <w:rsid w:val="008A538B"/>
    <w:rsid w:val="008A562D"/>
    <w:rsid w:val="008B5F3D"/>
    <w:rsid w:val="008C2AF1"/>
    <w:rsid w:val="008C68B1"/>
    <w:rsid w:val="008D0470"/>
    <w:rsid w:val="008D2894"/>
    <w:rsid w:val="008D367E"/>
    <w:rsid w:val="008D4860"/>
    <w:rsid w:val="008D6CD0"/>
    <w:rsid w:val="008D73B3"/>
    <w:rsid w:val="008E07AD"/>
    <w:rsid w:val="008E57ED"/>
    <w:rsid w:val="008E6AEE"/>
    <w:rsid w:val="008F090B"/>
    <w:rsid w:val="008F15AC"/>
    <w:rsid w:val="008F4539"/>
    <w:rsid w:val="008F5A15"/>
    <w:rsid w:val="008F744C"/>
    <w:rsid w:val="00903FDE"/>
    <w:rsid w:val="00907C8C"/>
    <w:rsid w:val="0092016D"/>
    <w:rsid w:val="00926F2C"/>
    <w:rsid w:val="00932F1C"/>
    <w:rsid w:val="0093634C"/>
    <w:rsid w:val="009452E1"/>
    <w:rsid w:val="009469DA"/>
    <w:rsid w:val="00947A53"/>
    <w:rsid w:val="00953555"/>
    <w:rsid w:val="0096158E"/>
    <w:rsid w:val="00965E42"/>
    <w:rsid w:val="00966019"/>
    <w:rsid w:val="00966FDB"/>
    <w:rsid w:val="00967504"/>
    <w:rsid w:val="0097460C"/>
    <w:rsid w:val="009831CC"/>
    <w:rsid w:val="0098781C"/>
    <w:rsid w:val="00994379"/>
    <w:rsid w:val="0099678D"/>
    <w:rsid w:val="009A470A"/>
    <w:rsid w:val="009B0548"/>
    <w:rsid w:val="009B4151"/>
    <w:rsid w:val="009D06EA"/>
    <w:rsid w:val="009D0B32"/>
    <w:rsid w:val="009D2E6F"/>
    <w:rsid w:val="009E1726"/>
    <w:rsid w:val="00A00793"/>
    <w:rsid w:val="00A0114C"/>
    <w:rsid w:val="00A013D8"/>
    <w:rsid w:val="00A115E1"/>
    <w:rsid w:val="00A131FE"/>
    <w:rsid w:val="00A3416E"/>
    <w:rsid w:val="00A4271B"/>
    <w:rsid w:val="00A440F8"/>
    <w:rsid w:val="00A4617F"/>
    <w:rsid w:val="00A53F27"/>
    <w:rsid w:val="00A56CA0"/>
    <w:rsid w:val="00A64E8D"/>
    <w:rsid w:val="00A658CB"/>
    <w:rsid w:val="00A71477"/>
    <w:rsid w:val="00A766FE"/>
    <w:rsid w:val="00A76757"/>
    <w:rsid w:val="00A80902"/>
    <w:rsid w:val="00A81B5E"/>
    <w:rsid w:val="00A83861"/>
    <w:rsid w:val="00A844A0"/>
    <w:rsid w:val="00A86977"/>
    <w:rsid w:val="00A9312B"/>
    <w:rsid w:val="00A95AC8"/>
    <w:rsid w:val="00A97783"/>
    <w:rsid w:val="00AA04A0"/>
    <w:rsid w:val="00AA4C7A"/>
    <w:rsid w:val="00AA5388"/>
    <w:rsid w:val="00AB05E2"/>
    <w:rsid w:val="00AB1925"/>
    <w:rsid w:val="00AB1B5A"/>
    <w:rsid w:val="00AB63DB"/>
    <w:rsid w:val="00AC218F"/>
    <w:rsid w:val="00AC74C2"/>
    <w:rsid w:val="00AD057C"/>
    <w:rsid w:val="00AE22CB"/>
    <w:rsid w:val="00AE40BD"/>
    <w:rsid w:val="00B17134"/>
    <w:rsid w:val="00B172C4"/>
    <w:rsid w:val="00B17C97"/>
    <w:rsid w:val="00B22F3F"/>
    <w:rsid w:val="00B34DD6"/>
    <w:rsid w:val="00B359CC"/>
    <w:rsid w:val="00B3606B"/>
    <w:rsid w:val="00B43582"/>
    <w:rsid w:val="00B50044"/>
    <w:rsid w:val="00B50B3F"/>
    <w:rsid w:val="00B542AD"/>
    <w:rsid w:val="00B755DC"/>
    <w:rsid w:val="00B86C8C"/>
    <w:rsid w:val="00B90D74"/>
    <w:rsid w:val="00B9260B"/>
    <w:rsid w:val="00BA024E"/>
    <w:rsid w:val="00BA2C96"/>
    <w:rsid w:val="00BA6745"/>
    <w:rsid w:val="00BA6DA3"/>
    <w:rsid w:val="00BA76C8"/>
    <w:rsid w:val="00BB0DC1"/>
    <w:rsid w:val="00BB17D5"/>
    <w:rsid w:val="00BB2C90"/>
    <w:rsid w:val="00BB36A4"/>
    <w:rsid w:val="00BB41FF"/>
    <w:rsid w:val="00BC5EEC"/>
    <w:rsid w:val="00BD7FF5"/>
    <w:rsid w:val="00BF2DA0"/>
    <w:rsid w:val="00BF627B"/>
    <w:rsid w:val="00C142D0"/>
    <w:rsid w:val="00C16234"/>
    <w:rsid w:val="00C241A6"/>
    <w:rsid w:val="00C30508"/>
    <w:rsid w:val="00C30C47"/>
    <w:rsid w:val="00C312ED"/>
    <w:rsid w:val="00C3633D"/>
    <w:rsid w:val="00C42EA5"/>
    <w:rsid w:val="00C444A4"/>
    <w:rsid w:val="00C4504F"/>
    <w:rsid w:val="00C55C8F"/>
    <w:rsid w:val="00C57B58"/>
    <w:rsid w:val="00C67651"/>
    <w:rsid w:val="00C74461"/>
    <w:rsid w:val="00C8141B"/>
    <w:rsid w:val="00C8235A"/>
    <w:rsid w:val="00C851FB"/>
    <w:rsid w:val="00C868EE"/>
    <w:rsid w:val="00C872E5"/>
    <w:rsid w:val="00C92BEA"/>
    <w:rsid w:val="00C94A49"/>
    <w:rsid w:val="00C96A2B"/>
    <w:rsid w:val="00CA1CE2"/>
    <w:rsid w:val="00CB1347"/>
    <w:rsid w:val="00CB207D"/>
    <w:rsid w:val="00CB30F8"/>
    <w:rsid w:val="00CB4AF2"/>
    <w:rsid w:val="00CC2C52"/>
    <w:rsid w:val="00CC4496"/>
    <w:rsid w:val="00CE5BF8"/>
    <w:rsid w:val="00CF0A45"/>
    <w:rsid w:val="00CF17B9"/>
    <w:rsid w:val="00CF4F5E"/>
    <w:rsid w:val="00CF60DA"/>
    <w:rsid w:val="00CF7B7C"/>
    <w:rsid w:val="00D03689"/>
    <w:rsid w:val="00D17882"/>
    <w:rsid w:val="00D269FA"/>
    <w:rsid w:val="00D31DD5"/>
    <w:rsid w:val="00D4506F"/>
    <w:rsid w:val="00D475A7"/>
    <w:rsid w:val="00D55908"/>
    <w:rsid w:val="00D82F8C"/>
    <w:rsid w:val="00D839AE"/>
    <w:rsid w:val="00D86249"/>
    <w:rsid w:val="00D869B5"/>
    <w:rsid w:val="00D957AB"/>
    <w:rsid w:val="00D96A75"/>
    <w:rsid w:val="00DA1909"/>
    <w:rsid w:val="00DA401D"/>
    <w:rsid w:val="00DA5B11"/>
    <w:rsid w:val="00DB1E04"/>
    <w:rsid w:val="00DB2B3F"/>
    <w:rsid w:val="00DB55DA"/>
    <w:rsid w:val="00DB5651"/>
    <w:rsid w:val="00DB7D0A"/>
    <w:rsid w:val="00DC3096"/>
    <w:rsid w:val="00DD380E"/>
    <w:rsid w:val="00DE6469"/>
    <w:rsid w:val="00DE7961"/>
    <w:rsid w:val="00DF1655"/>
    <w:rsid w:val="00DF2CB4"/>
    <w:rsid w:val="00DF2E82"/>
    <w:rsid w:val="00DF4E95"/>
    <w:rsid w:val="00E01F71"/>
    <w:rsid w:val="00E02CEB"/>
    <w:rsid w:val="00E0410E"/>
    <w:rsid w:val="00E0716F"/>
    <w:rsid w:val="00E0799D"/>
    <w:rsid w:val="00E12262"/>
    <w:rsid w:val="00E156E9"/>
    <w:rsid w:val="00E16ED4"/>
    <w:rsid w:val="00E22419"/>
    <w:rsid w:val="00E27599"/>
    <w:rsid w:val="00E33142"/>
    <w:rsid w:val="00E41518"/>
    <w:rsid w:val="00E539BD"/>
    <w:rsid w:val="00E54516"/>
    <w:rsid w:val="00E55BF8"/>
    <w:rsid w:val="00E63BB5"/>
    <w:rsid w:val="00E712EA"/>
    <w:rsid w:val="00E761C9"/>
    <w:rsid w:val="00E7692E"/>
    <w:rsid w:val="00EA0A0D"/>
    <w:rsid w:val="00EA27C3"/>
    <w:rsid w:val="00EA5686"/>
    <w:rsid w:val="00ED0A1B"/>
    <w:rsid w:val="00EE3D8C"/>
    <w:rsid w:val="00EF0754"/>
    <w:rsid w:val="00EF5B01"/>
    <w:rsid w:val="00F007AB"/>
    <w:rsid w:val="00F0707F"/>
    <w:rsid w:val="00F100FF"/>
    <w:rsid w:val="00F151E6"/>
    <w:rsid w:val="00F15654"/>
    <w:rsid w:val="00F15704"/>
    <w:rsid w:val="00F2694E"/>
    <w:rsid w:val="00F34B9C"/>
    <w:rsid w:val="00F41CF5"/>
    <w:rsid w:val="00F46093"/>
    <w:rsid w:val="00F53385"/>
    <w:rsid w:val="00F538E4"/>
    <w:rsid w:val="00F5560F"/>
    <w:rsid w:val="00F55804"/>
    <w:rsid w:val="00F61147"/>
    <w:rsid w:val="00F63F7F"/>
    <w:rsid w:val="00F67F53"/>
    <w:rsid w:val="00F70572"/>
    <w:rsid w:val="00F734B1"/>
    <w:rsid w:val="00F75901"/>
    <w:rsid w:val="00F81C39"/>
    <w:rsid w:val="00F85EAD"/>
    <w:rsid w:val="00FA3F3B"/>
    <w:rsid w:val="00FB3527"/>
    <w:rsid w:val="00FC097F"/>
    <w:rsid w:val="00FC1E31"/>
    <w:rsid w:val="00FC54A2"/>
    <w:rsid w:val="00FC6C74"/>
    <w:rsid w:val="00FD5FEE"/>
    <w:rsid w:val="00FD6173"/>
    <w:rsid w:val="00FE10AA"/>
    <w:rsid w:val="00FE2E0B"/>
    <w:rsid w:val="00FE2EF9"/>
    <w:rsid w:val="00FF0A68"/>
    <w:rsid w:val="00FF1F40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8F43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tium Plus" w:eastAsiaTheme="minorEastAsia" w:hAnsi="Gentium Plu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8F"/>
    <w:rPr>
      <w:rFonts w:ascii="Times New Roman" w:eastAsia="MS Mincho" w:hAnsi="Times New Roman" w:cs="Times New Roman"/>
      <w:lang w:val="en-GB" w:eastAsia="ja-JP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6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68F"/>
    <w:rPr>
      <w:rFonts w:ascii="Times New Roman" w:eastAsia="MS Mincho" w:hAnsi="Times New Roman" w:cs="Times New Roman"/>
      <w:lang w:val="en-GB" w:eastAsia="ja-JP" w:bidi="he-IL"/>
    </w:rPr>
  </w:style>
  <w:style w:type="paragraph" w:styleId="Footer">
    <w:name w:val="footer"/>
    <w:basedOn w:val="Normal"/>
    <w:link w:val="FooterChar"/>
    <w:uiPriority w:val="99"/>
    <w:unhideWhenUsed/>
    <w:rsid w:val="002736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68F"/>
    <w:rPr>
      <w:rFonts w:ascii="Times New Roman" w:eastAsia="MS Mincho" w:hAnsi="Times New Roman" w:cs="Times New Roman"/>
      <w:lang w:val="en-GB" w:eastAsia="ja-JP"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tium Plus" w:eastAsiaTheme="minorEastAsia" w:hAnsi="Gentium Plu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8F"/>
    <w:rPr>
      <w:rFonts w:ascii="Times New Roman" w:eastAsia="MS Mincho" w:hAnsi="Times New Roman" w:cs="Times New Roman"/>
      <w:lang w:val="en-GB" w:eastAsia="ja-JP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6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68F"/>
    <w:rPr>
      <w:rFonts w:ascii="Times New Roman" w:eastAsia="MS Mincho" w:hAnsi="Times New Roman" w:cs="Times New Roman"/>
      <w:lang w:val="en-GB" w:eastAsia="ja-JP" w:bidi="he-IL"/>
    </w:rPr>
  </w:style>
  <w:style w:type="paragraph" w:styleId="Footer">
    <w:name w:val="footer"/>
    <w:basedOn w:val="Normal"/>
    <w:link w:val="FooterChar"/>
    <w:uiPriority w:val="99"/>
    <w:unhideWhenUsed/>
    <w:rsid w:val="002736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68F"/>
    <w:rPr>
      <w:rFonts w:ascii="Times New Roman" w:eastAsia="MS Mincho" w:hAnsi="Times New Roman" w:cs="Times New Roman"/>
      <w:lang w:val="en-GB"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888</Words>
  <Characters>4853</Characters>
  <Application>Microsoft Macintosh Word</Application>
  <DocSecurity>0</DocSecurity>
  <Lines>78</Lines>
  <Paragraphs>6</Paragraphs>
  <ScaleCrop>false</ScaleCrop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Whelan</dc:creator>
  <cp:keywords/>
  <dc:description/>
  <cp:lastModifiedBy>Robin Whelan</cp:lastModifiedBy>
  <cp:revision>515</cp:revision>
  <dcterms:created xsi:type="dcterms:W3CDTF">2016-09-07T13:57:00Z</dcterms:created>
  <dcterms:modified xsi:type="dcterms:W3CDTF">2016-10-06T06:31:00Z</dcterms:modified>
</cp:coreProperties>
</file>