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432B7" w14:textId="2BFC5012" w:rsidR="00126F5D" w:rsidRDefault="53472205" w:rsidP="53472205">
      <w:pPr>
        <w:outlineLvl w:val="0"/>
        <w:rPr>
          <w:rFonts w:ascii="Baskerville Old Face" w:eastAsia="Baskerville Old Face" w:hAnsi="Baskerville Old Face" w:cs="Baskerville Old Face"/>
          <w:sz w:val="32"/>
          <w:szCs w:val="32"/>
        </w:rPr>
      </w:pPr>
      <w:r w:rsidRPr="53472205">
        <w:rPr>
          <w:rFonts w:ascii="Baskerville Old Face" w:eastAsia="Baskerville Old Face" w:hAnsi="Baskerville Old Face" w:cs="Baskerville Old Face"/>
          <w:sz w:val="32"/>
          <w:szCs w:val="32"/>
        </w:rPr>
        <w:t xml:space="preserve"> Joshua P. </w:t>
      </w:r>
      <w:proofErr w:type="spellStart"/>
      <w:r w:rsidRPr="53472205">
        <w:rPr>
          <w:rFonts w:ascii="Baskerville Old Face" w:eastAsia="Baskerville Old Face" w:hAnsi="Baskerville Old Face" w:cs="Baskerville Old Face"/>
          <w:sz w:val="32"/>
          <w:szCs w:val="32"/>
        </w:rPr>
        <w:t>Nudell</w:t>
      </w:r>
      <w:proofErr w:type="spellEnd"/>
      <w:r w:rsidRPr="53472205">
        <w:rPr>
          <w:rFonts w:ascii="Baskerville Old Face" w:eastAsia="Baskerville Old Face" w:hAnsi="Baskerville Old Face" w:cs="Baskerville Old Face"/>
          <w:sz w:val="32"/>
          <w:szCs w:val="32"/>
        </w:rPr>
        <w:t>, Ph.D.</w:t>
      </w:r>
    </w:p>
    <w:p w14:paraId="796EAF51" w14:textId="65644F54" w:rsidR="00126F5D" w:rsidRDefault="00552233" w:rsidP="00AB7B7D">
      <w:pPr>
        <w:jc w:val="center"/>
        <w:rPr>
          <w:rFonts w:ascii="Baskerville Old Face" w:eastAsia="Baskerville Old Face" w:hAnsi="Baskerville Old Face" w:cs="Baskerville Old Face"/>
          <w:sz w:val="32"/>
          <w:szCs w:val="32"/>
        </w:rPr>
      </w:pPr>
      <w:r>
        <w:rPr>
          <w:rFonts w:ascii="Baskerville Old Face" w:eastAsia="Baskerville Old Face" w:hAnsi="Baskerville Old Face" w:cs="Baskerville Old Face"/>
          <w:noProof/>
          <w:sz w:val="32"/>
          <w:szCs w:val="32"/>
        </w:rPr>
        <w:pict w14:anchorId="4EC9A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fault Line" style="width:467.85pt;height:1.5pt;mso-width-percent:0;mso-height-percent:0;mso-width-percent:0;mso-height-percent:0" o:hrpct="0" o:hralign="center" o:hr="t">
            <v:imagedata r:id="rId8" o:title="Default Line"/>
          </v:shape>
        </w:pict>
      </w:r>
    </w:p>
    <w:p w14:paraId="094B726C" w14:textId="77777777" w:rsidR="00126F5D" w:rsidRDefault="00126F5D" w:rsidP="00AB7B7D">
      <w:pPr>
        <w:jc w:val="center"/>
        <w:sectPr w:rsidR="00126F5D" w:rsidSect="00126F5D">
          <w:footerReference w:type="even" r:id="rId9"/>
          <w:footerReference w:type="default" r:id="rId10"/>
          <w:type w:val="continuous"/>
          <w:pgSz w:w="12240" w:h="15840"/>
          <w:pgMar w:top="1440" w:right="1440" w:bottom="1728" w:left="1440" w:header="720" w:footer="720" w:gutter="0"/>
          <w:cols w:space="720"/>
          <w:titlePg/>
          <w:docGrid w:linePitch="360"/>
        </w:sectPr>
      </w:pPr>
    </w:p>
    <w:p w14:paraId="17A936C5" w14:textId="0CB942F3" w:rsidR="00126F5D" w:rsidRDefault="4AA4E258" w:rsidP="00760314">
      <w:pPr>
        <w:ind w:left="900"/>
      </w:pPr>
      <w:r>
        <w:t>Department of History</w:t>
      </w:r>
    </w:p>
    <w:p w14:paraId="16E92862" w14:textId="09BF05D5" w:rsidR="00760314" w:rsidRDefault="4AA4E258" w:rsidP="00760314">
      <w:pPr>
        <w:ind w:left="900"/>
      </w:pPr>
      <w:r>
        <w:t>University of Missouri</w:t>
      </w:r>
    </w:p>
    <w:p w14:paraId="74D9055B" w14:textId="77777777" w:rsidR="000F1EF1" w:rsidRDefault="000F1EF1" w:rsidP="00247CC8">
      <w:pPr>
        <w:ind w:left="900"/>
        <w:outlineLvl w:val="0"/>
      </w:pPr>
    </w:p>
    <w:p w14:paraId="09634B6F" w14:textId="63E4BA20" w:rsidR="0062664F" w:rsidRPr="002107A6" w:rsidRDefault="215158E0" w:rsidP="00247CC8">
      <w:pPr>
        <w:ind w:left="900"/>
        <w:outlineLvl w:val="0"/>
      </w:pPr>
      <w:r>
        <w:t xml:space="preserve">Updated: </w:t>
      </w:r>
      <w:r w:rsidR="00150E87">
        <w:t>June</w:t>
      </w:r>
      <w:r>
        <w:t xml:space="preserve"> 8, 2020</w:t>
      </w:r>
    </w:p>
    <w:p w14:paraId="3F082F6F" w14:textId="41D047B7" w:rsidR="00D1629C" w:rsidRPr="002107A6" w:rsidRDefault="4AA4E258" w:rsidP="00760314">
      <w:pPr>
        <w:spacing w:line="276" w:lineRule="auto"/>
        <w:ind w:left="900"/>
      </w:pPr>
      <w:r>
        <w:t>Email: jpnwwd@</w:t>
      </w:r>
      <w:r w:rsidR="00065341">
        <w:t>umsystem</w:t>
      </w:r>
      <w:r>
        <w:t>.edu</w:t>
      </w:r>
    </w:p>
    <w:p w14:paraId="00B1D3F1" w14:textId="7B0CB679" w:rsidR="00760314" w:rsidRDefault="4AA4E258" w:rsidP="00FE56E3">
      <w:pPr>
        <w:spacing w:line="276" w:lineRule="auto"/>
        <w:ind w:left="900"/>
        <w:sectPr w:rsidR="00760314" w:rsidSect="00126F5D">
          <w:type w:val="continuous"/>
          <w:pgSz w:w="12240" w:h="15840"/>
          <w:pgMar w:top="1440" w:right="1440" w:bottom="1728" w:left="1440" w:header="720" w:footer="720" w:gutter="0"/>
          <w:cols w:num="2" w:space="720"/>
          <w:titlePg/>
          <w:docGrid w:linePitch="360"/>
        </w:sectPr>
      </w:pPr>
      <w:r>
        <w:t>Phone: 617.676.7244 (cell)</w:t>
      </w:r>
    </w:p>
    <w:p w14:paraId="38800502" w14:textId="77777777" w:rsidR="0085221E" w:rsidRPr="00AA1516" w:rsidRDefault="0085221E" w:rsidP="00AA1516">
      <w:pPr>
        <w:pBdr>
          <w:bottom w:val="single" w:sz="4" w:space="1" w:color="auto"/>
        </w:pBdr>
        <w:outlineLvl w:val="0"/>
        <w:rPr>
          <w:smallCaps/>
          <w:kern w:val="32"/>
        </w:rPr>
      </w:pPr>
    </w:p>
    <w:p w14:paraId="1D4EDEAA" w14:textId="0A1675F1" w:rsidR="0062664F" w:rsidRPr="003246BC" w:rsidRDefault="00DE6AB6" w:rsidP="0097591B">
      <w:pPr>
        <w:pBdr>
          <w:bottom w:val="single" w:sz="4" w:space="1" w:color="auto"/>
        </w:pBdr>
        <w:spacing w:after="200"/>
        <w:outlineLvl w:val="0"/>
        <w:rPr>
          <w:smallCaps/>
          <w:sz w:val="32"/>
          <w:szCs w:val="32"/>
        </w:rPr>
      </w:pPr>
      <w:r w:rsidRPr="003246BC">
        <w:rPr>
          <w:smallCaps/>
          <w:kern w:val="32"/>
          <w:sz w:val="32"/>
          <w:szCs w:val="32"/>
        </w:rPr>
        <w:t xml:space="preserve">Research </w:t>
      </w:r>
      <w:r w:rsidR="00F736D9">
        <w:rPr>
          <w:smallCaps/>
          <w:kern w:val="32"/>
          <w:sz w:val="32"/>
          <w:szCs w:val="32"/>
        </w:rPr>
        <w:t>Profile</w:t>
      </w:r>
    </w:p>
    <w:p w14:paraId="7121281A" w14:textId="28C7CE97" w:rsidR="000507B6" w:rsidRDefault="4AA4E258" w:rsidP="000507B6">
      <w:pPr>
        <w:ind w:left="900"/>
      </w:pPr>
      <w:r>
        <w:t>Political culture and identity in Classical and early Hellenistic Greece, with particular focus on Ionia and the Greeks of Asia Minor; cultural memory; political rhetoric; imperialism; localism, historiography; and the material culture and economics of food</w:t>
      </w:r>
    </w:p>
    <w:p w14:paraId="1840C662" w14:textId="50034DCD" w:rsidR="00DE6AB6" w:rsidRDefault="00DE6AB6"/>
    <w:p w14:paraId="779D69A0" w14:textId="34246E23" w:rsidR="2727FC66" w:rsidRDefault="4AA4E258" w:rsidP="0097591B">
      <w:pPr>
        <w:pBdr>
          <w:bottom w:val="single" w:sz="4" w:space="1" w:color="auto"/>
        </w:pBdr>
        <w:spacing w:after="200" w:line="259" w:lineRule="auto"/>
      </w:pPr>
      <w:r w:rsidRPr="4AA4E258">
        <w:rPr>
          <w:smallCaps/>
          <w:sz w:val="32"/>
          <w:szCs w:val="32"/>
        </w:rPr>
        <w:t>Employment</w:t>
      </w:r>
    </w:p>
    <w:p w14:paraId="208569C0" w14:textId="5E937D3C" w:rsidR="24987F3A" w:rsidRDefault="4AA4E258" w:rsidP="00FE56E3">
      <w:pPr>
        <w:ind w:left="900"/>
      </w:pPr>
      <w:r w:rsidRPr="4AA4E258">
        <w:rPr>
          <w:b/>
          <w:bCs/>
        </w:rPr>
        <w:t>University of Missouri</w:t>
      </w:r>
      <w:r>
        <w:t>, Columbia, MO (2017–Present)</w:t>
      </w:r>
    </w:p>
    <w:p w14:paraId="0F883A8A" w14:textId="657BDAC5" w:rsidR="00065341" w:rsidRDefault="00065341" w:rsidP="00065341">
      <w:pPr>
        <w:ind w:left="907"/>
      </w:pPr>
      <w:r>
        <w:t>Lecturer, Honors College (2019–Present)</w:t>
      </w:r>
    </w:p>
    <w:p w14:paraId="6B56E8BC" w14:textId="4F5BCB04" w:rsidR="00065341" w:rsidRDefault="00065341" w:rsidP="00065341">
      <w:pPr>
        <w:ind w:left="907"/>
      </w:pPr>
      <w:r>
        <w:t>Instructor, Mizzou Online (2017–Present)</w:t>
      </w:r>
    </w:p>
    <w:p w14:paraId="038F7587" w14:textId="185A83E4" w:rsidR="00065341" w:rsidRDefault="4AA4E258" w:rsidP="00065341">
      <w:pPr>
        <w:spacing w:after="200"/>
        <w:ind w:left="907"/>
      </w:pPr>
      <w:r>
        <w:t xml:space="preserve">Visiting Assistant Professor </w:t>
      </w:r>
      <w:r w:rsidR="00065341">
        <w:t xml:space="preserve">of </w:t>
      </w:r>
      <w:r>
        <w:t>History</w:t>
      </w:r>
      <w:r w:rsidR="00065341">
        <w:t xml:space="preserve"> (2017–2019)</w:t>
      </w:r>
    </w:p>
    <w:p w14:paraId="14DBFB16" w14:textId="3FF54153" w:rsidR="00495803" w:rsidRDefault="4AA4E258" w:rsidP="00FE56E3">
      <w:pPr>
        <w:ind w:left="900"/>
      </w:pPr>
      <w:r w:rsidRPr="4AA4E258">
        <w:rPr>
          <w:b/>
          <w:bCs/>
        </w:rPr>
        <w:t>William Woods University</w:t>
      </w:r>
      <w:r>
        <w:t>, Fulton, MO (2018–</w:t>
      </w:r>
      <w:r w:rsidR="00150E87">
        <w:t>Present</w:t>
      </w:r>
      <w:r>
        <w:t>)</w:t>
      </w:r>
    </w:p>
    <w:p w14:paraId="7A3F794C" w14:textId="76395B49" w:rsidR="001F1566" w:rsidRDefault="4AA4E258" w:rsidP="005F65D6">
      <w:pPr>
        <w:spacing w:after="200"/>
        <w:ind w:left="907"/>
      </w:pPr>
      <w:r>
        <w:t>Adjunct Professor of History</w:t>
      </w:r>
    </w:p>
    <w:p w14:paraId="701D5955" w14:textId="1C4A6E64" w:rsidR="001F1566" w:rsidRDefault="4AA4E258" w:rsidP="00FE56E3">
      <w:pPr>
        <w:ind w:left="900"/>
        <w:rPr>
          <w:bCs/>
        </w:rPr>
      </w:pPr>
      <w:r w:rsidRPr="4AA4E258">
        <w:rPr>
          <w:b/>
          <w:bCs/>
        </w:rPr>
        <w:t>Westminster College</w:t>
      </w:r>
      <w:r>
        <w:t>, Fulton, MO (2014)</w:t>
      </w:r>
    </w:p>
    <w:p w14:paraId="5B385CBC" w14:textId="450EA4AD" w:rsidR="001F1566" w:rsidRPr="001F1566" w:rsidRDefault="4AA4E258" w:rsidP="00FE56E3">
      <w:pPr>
        <w:ind w:left="900"/>
        <w:rPr>
          <w:bCs/>
        </w:rPr>
      </w:pPr>
      <w:r>
        <w:t>Adjunct Instructor</w:t>
      </w:r>
    </w:p>
    <w:p w14:paraId="0CAA6F1D" w14:textId="77777777" w:rsidR="00724628" w:rsidRDefault="00724628" w:rsidP="00760314">
      <w:pPr>
        <w:ind w:left="900"/>
      </w:pPr>
    </w:p>
    <w:p w14:paraId="14B88D03" w14:textId="1F9A1013" w:rsidR="00E52051" w:rsidRPr="005C2AF3" w:rsidRDefault="476043B5" w:rsidP="0097591B">
      <w:pPr>
        <w:pBdr>
          <w:bottom w:val="single" w:sz="4" w:space="1" w:color="auto"/>
        </w:pBdr>
        <w:spacing w:after="200"/>
        <w:outlineLvl w:val="0"/>
        <w:rPr>
          <w:smallCaps/>
          <w:sz w:val="32"/>
          <w:szCs w:val="32"/>
        </w:rPr>
      </w:pPr>
      <w:r w:rsidRPr="005C2AF3">
        <w:rPr>
          <w:smallCaps/>
          <w:kern w:val="32"/>
          <w:sz w:val="32"/>
          <w:szCs w:val="32"/>
        </w:rPr>
        <w:t>Education</w:t>
      </w:r>
    </w:p>
    <w:p w14:paraId="01F2F0C8" w14:textId="0FD07AA0" w:rsidR="0062664F" w:rsidRPr="00467FD0" w:rsidRDefault="4AA4E258" w:rsidP="00FE56E3">
      <w:pPr>
        <w:tabs>
          <w:tab w:val="left" w:pos="360"/>
        </w:tabs>
        <w:ind w:left="900"/>
        <w:rPr>
          <w:bCs/>
        </w:rPr>
      </w:pPr>
      <w:r w:rsidRPr="4AA4E258">
        <w:rPr>
          <w:b/>
          <w:bCs/>
        </w:rPr>
        <w:t>University of Missouri</w:t>
      </w:r>
      <w:r>
        <w:t>,</w:t>
      </w:r>
      <w:r w:rsidRPr="4AA4E258">
        <w:rPr>
          <w:b/>
          <w:bCs/>
        </w:rPr>
        <w:t xml:space="preserve"> </w:t>
      </w:r>
      <w:r>
        <w:t>Columbia, MO (2017)</w:t>
      </w:r>
    </w:p>
    <w:p w14:paraId="26847F4D" w14:textId="77777777" w:rsidR="00FE56E3" w:rsidRDefault="4AA4E258" w:rsidP="00247CC8">
      <w:pPr>
        <w:tabs>
          <w:tab w:val="left" w:pos="360"/>
        </w:tabs>
        <w:spacing w:line="276" w:lineRule="auto"/>
        <w:ind w:left="900"/>
        <w:outlineLvl w:val="0"/>
      </w:pPr>
      <w:r>
        <w:t xml:space="preserve">Ph.D. in History </w:t>
      </w:r>
    </w:p>
    <w:p w14:paraId="67211F1D" w14:textId="441485EA" w:rsidR="00B97D63" w:rsidRPr="00886AAD" w:rsidRDefault="4AA4E258" w:rsidP="00FE56E3">
      <w:pPr>
        <w:tabs>
          <w:tab w:val="left" w:pos="360"/>
        </w:tabs>
        <w:spacing w:line="276" w:lineRule="auto"/>
        <w:ind w:left="900"/>
      </w:pPr>
      <w:r>
        <w:t>Ancient Studies Minor (History, Classical Studies, Art History and Archeology)</w:t>
      </w:r>
    </w:p>
    <w:p w14:paraId="7D6FD5B3" w14:textId="33BC3D37" w:rsidR="00CF39BB" w:rsidRPr="002107A6" w:rsidRDefault="4AA4E258" w:rsidP="005F65D6">
      <w:pPr>
        <w:tabs>
          <w:tab w:val="left" w:pos="360"/>
        </w:tabs>
        <w:spacing w:after="200"/>
        <w:ind w:left="907"/>
      </w:pPr>
      <w:r w:rsidRPr="4AA4E258">
        <w:rPr>
          <w:i/>
          <w:iCs/>
        </w:rPr>
        <w:t>Dissertation:</w:t>
      </w:r>
      <w:r>
        <w:t xml:space="preserve"> “Centered on the Periphery: the changing dynamic of Ionia between imperial powers 454</w:t>
      </w:r>
      <w:r w:rsidR="00B66D98">
        <w:t>–</w:t>
      </w:r>
      <w:r>
        <w:t xml:space="preserve">294” (Supervisor: Ian Worthington) </w:t>
      </w:r>
    </w:p>
    <w:p w14:paraId="58B81B25" w14:textId="4BFCFEDA" w:rsidR="0062664F" w:rsidRPr="00460121" w:rsidRDefault="4AA4E258" w:rsidP="4AA4E258">
      <w:pPr>
        <w:tabs>
          <w:tab w:val="left" w:pos="360"/>
        </w:tabs>
        <w:ind w:left="900"/>
        <w:rPr>
          <w:b/>
          <w:bCs/>
        </w:rPr>
      </w:pPr>
      <w:r w:rsidRPr="4AA4E258">
        <w:rPr>
          <w:b/>
          <w:bCs/>
        </w:rPr>
        <w:t>University of Missouri</w:t>
      </w:r>
      <w:r>
        <w:t>, Columbia, MO (2011)</w:t>
      </w:r>
    </w:p>
    <w:p w14:paraId="6A0AE48E" w14:textId="4DCBE9C5" w:rsidR="00886AAD" w:rsidRDefault="4AA4E258" w:rsidP="00247CC8">
      <w:pPr>
        <w:tabs>
          <w:tab w:val="left" w:pos="360"/>
        </w:tabs>
        <w:spacing w:line="276" w:lineRule="auto"/>
        <w:ind w:left="900"/>
        <w:outlineLvl w:val="0"/>
      </w:pPr>
      <w:r>
        <w:t>M.A. in History</w:t>
      </w:r>
    </w:p>
    <w:p w14:paraId="69AFECBE" w14:textId="00709768" w:rsidR="0062664F" w:rsidRPr="002107A6" w:rsidRDefault="4AA4E258" w:rsidP="005F65D6">
      <w:pPr>
        <w:tabs>
          <w:tab w:val="left" w:pos="360"/>
        </w:tabs>
        <w:spacing w:after="200"/>
        <w:ind w:left="907"/>
      </w:pPr>
      <w:r w:rsidRPr="4AA4E258">
        <w:rPr>
          <w:i/>
          <w:iCs/>
        </w:rPr>
        <w:t>Thesis:</w:t>
      </w:r>
      <w:r>
        <w:t xml:space="preserve"> “Not One, but Three Roman Alexanders” (Supervisor: Ian Worthington)</w:t>
      </w:r>
    </w:p>
    <w:p w14:paraId="1D1A2438" w14:textId="02F71184" w:rsidR="0062664F" w:rsidRPr="002107A6" w:rsidRDefault="4AA4E258" w:rsidP="4AA4E258">
      <w:pPr>
        <w:tabs>
          <w:tab w:val="left" w:pos="360"/>
        </w:tabs>
        <w:ind w:left="900"/>
        <w:rPr>
          <w:b/>
          <w:bCs/>
        </w:rPr>
      </w:pPr>
      <w:r w:rsidRPr="4AA4E258">
        <w:rPr>
          <w:b/>
          <w:bCs/>
        </w:rPr>
        <w:t>Brandeis University</w:t>
      </w:r>
      <w:r>
        <w:t>, Waltham, MA</w:t>
      </w:r>
      <w:r w:rsidRPr="4AA4E258">
        <w:rPr>
          <w:b/>
          <w:bCs/>
        </w:rPr>
        <w:t xml:space="preserve"> </w:t>
      </w:r>
      <w:r>
        <w:t>(2008)</w:t>
      </w:r>
    </w:p>
    <w:p w14:paraId="685C6744" w14:textId="5046AB5E" w:rsidR="00FB6491" w:rsidRDefault="4AA4E258" w:rsidP="00247CC8">
      <w:pPr>
        <w:tabs>
          <w:tab w:val="left" w:pos="360"/>
        </w:tabs>
        <w:ind w:left="900"/>
        <w:outlineLvl w:val="0"/>
      </w:pPr>
      <w:r>
        <w:t>B.A. in History; Classical Art and Archeology and Ancient History</w:t>
      </w:r>
    </w:p>
    <w:p w14:paraId="1BB73F3E" w14:textId="433E330B" w:rsidR="008C50EA" w:rsidRPr="002107A6" w:rsidRDefault="4AA4E258" w:rsidP="4AA4E258">
      <w:pPr>
        <w:tabs>
          <w:tab w:val="left" w:pos="90"/>
          <w:tab w:val="left" w:pos="360"/>
        </w:tabs>
        <w:ind w:left="900"/>
        <w:rPr>
          <w:i/>
          <w:iCs/>
        </w:rPr>
      </w:pPr>
      <w:r>
        <w:t>Political Science Minor</w:t>
      </w:r>
    </w:p>
    <w:p w14:paraId="4EA1E57E" w14:textId="67442490" w:rsidR="00042241" w:rsidRPr="002107A6" w:rsidRDefault="4AA4E258" w:rsidP="00FE56E3">
      <w:pPr>
        <w:tabs>
          <w:tab w:val="left" w:pos="90"/>
          <w:tab w:val="left" w:pos="360"/>
        </w:tabs>
        <w:ind w:left="900"/>
      </w:pPr>
      <w:r>
        <w:t xml:space="preserve">Cum Laude, High Honors </w:t>
      </w:r>
    </w:p>
    <w:p w14:paraId="4264CD0F" w14:textId="77777777" w:rsidR="00BC4BC0" w:rsidRPr="002107A6" w:rsidRDefault="00BC4BC0" w:rsidP="00760314">
      <w:pPr>
        <w:ind w:left="900"/>
        <w:rPr>
          <w:b/>
        </w:rPr>
      </w:pPr>
    </w:p>
    <w:p w14:paraId="3043D009" w14:textId="3AB3F391" w:rsidR="00100382" w:rsidRPr="005C2AF3" w:rsidRDefault="476043B5" w:rsidP="0097591B">
      <w:pPr>
        <w:pBdr>
          <w:bottom w:val="single" w:sz="4" w:space="1" w:color="auto"/>
        </w:pBdr>
        <w:spacing w:after="200"/>
        <w:outlineLvl w:val="0"/>
        <w:rPr>
          <w:smallCaps/>
          <w:sz w:val="32"/>
          <w:szCs w:val="32"/>
        </w:rPr>
      </w:pPr>
      <w:r w:rsidRPr="005C2AF3">
        <w:rPr>
          <w:smallCaps/>
          <w:kern w:val="28"/>
          <w:sz w:val="32"/>
          <w:szCs w:val="32"/>
        </w:rPr>
        <w:lastRenderedPageBreak/>
        <w:t>Publications</w:t>
      </w:r>
    </w:p>
    <w:p w14:paraId="182B0FB2" w14:textId="491B4ADC" w:rsidR="00C0227E" w:rsidRPr="00C0227E" w:rsidRDefault="00C0227E" w:rsidP="00A65A47">
      <w:pPr>
        <w:spacing w:after="200"/>
        <w:ind w:firstLine="90"/>
        <w:outlineLvl w:val="0"/>
        <w:rPr>
          <w:rFonts w:eastAsia="Times New Roman"/>
          <w:b/>
          <w:bCs/>
          <w:color w:val="000000" w:themeColor="text1"/>
        </w:rPr>
      </w:pPr>
      <w:r w:rsidRPr="4AA4E258">
        <w:rPr>
          <w:b/>
          <w:bCs/>
          <w:color w:val="000000" w:themeColor="text1"/>
        </w:rPr>
        <w:t>Refereed Journal Articles</w:t>
      </w:r>
    </w:p>
    <w:p w14:paraId="3A414C88" w14:textId="1A9281F0" w:rsidR="3FC499CB" w:rsidRDefault="51FC495D" w:rsidP="51FC495D">
      <w:pPr>
        <w:spacing w:after="200" w:line="259" w:lineRule="auto"/>
        <w:ind w:left="900"/>
        <w:rPr>
          <w:rFonts w:eastAsia="Times New Roman"/>
          <w:color w:val="000000" w:themeColor="text1"/>
        </w:rPr>
      </w:pPr>
      <w:r w:rsidRPr="51FC495D">
        <w:rPr>
          <w:color w:val="000000" w:themeColor="text1"/>
        </w:rPr>
        <w:t xml:space="preserve">“'Who cares about the Greeks living in Asia?': Ionia and Attic Orators in the Fourth Century,” </w:t>
      </w:r>
      <w:r w:rsidRPr="51FC495D">
        <w:rPr>
          <w:i/>
          <w:iCs/>
          <w:color w:val="000000" w:themeColor="text1"/>
        </w:rPr>
        <w:t xml:space="preserve">Classical Journal </w:t>
      </w:r>
      <w:r w:rsidRPr="51FC495D">
        <w:rPr>
          <w:color w:val="000000" w:themeColor="text1"/>
        </w:rPr>
        <w:t>114 (2018), 163–190</w:t>
      </w:r>
    </w:p>
    <w:p w14:paraId="08678E42" w14:textId="180F345F" w:rsidR="00531F36" w:rsidRPr="00C0227E" w:rsidRDefault="00531F36" w:rsidP="53472205">
      <w:pPr>
        <w:spacing w:after="200"/>
        <w:ind w:left="900"/>
        <w:rPr>
          <w:rFonts w:eastAsia="Times New Roman"/>
          <w:color w:val="000000" w:themeColor="text1"/>
        </w:rPr>
      </w:pPr>
      <w:r w:rsidRPr="4AA4E258">
        <w:rPr>
          <w:rFonts w:eastAsia="Times New Roman"/>
          <w:color w:val="000000" w:themeColor="text1"/>
          <w:shd w:val="clear" w:color="auto" w:fill="FCFCFA"/>
          <w14:ligatures w14:val="standardContextual"/>
        </w:rPr>
        <w:t>“</w:t>
      </w:r>
      <w:r>
        <w:t xml:space="preserve">Oracular Politics: Propaganda and Myth in the Restoration of </w:t>
      </w:r>
      <w:proofErr w:type="spellStart"/>
      <w:r>
        <w:t>Didyma</w:t>
      </w:r>
      <w:proofErr w:type="spellEnd"/>
      <w:r w:rsidRPr="4AA4E258">
        <w:rPr>
          <w:rFonts w:eastAsia="Times New Roman"/>
          <w:color w:val="000000" w:themeColor="text1"/>
          <w:shd w:val="clear" w:color="auto" w:fill="FCFCFA"/>
          <w14:ligatures w14:val="standardContextual"/>
        </w:rPr>
        <w:t xml:space="preserve">,” </w:t>
      </w:r>
      <w:r w:rsidRPr="53472205">
        <w:rPr>
          <w:i/>
          <w:iCs/>
          <w:color w:val="000000" w:themeColor="text1"/>
          <w:shd w:val="clear" w:color="auto" w:fill="FCFCFA"/>
          <w14:ligatures w14:val="standardContextual"/>
        </w:rPr>
        <w:t>Ancient History Bulletin</w:t>
      </w:r>
      <w:r w:rsidR="00C1789A">
        <w:rPr>
          <w:color w:val="000000" w:themeColor="text1"/>
          <w:shd w:val="clear" w:color="auto" w:fill="FCFCFA"/>
          <w14:ligatures w14:val="standardContextual"/>
        </w:rPr>
        <w:t xml:space="preserve"> 32 (2018)</w:t>
      </w:r>
      <w:r w:rsidRPr="4AA4E258">
        <w:rPr>
          <w:color w:val="000000" w:themeColor="text1"/>
          <w:shd w:val="clear" w:color="auto" w:fill="FCFCFA"/>
          <w14:ligatures w14:val="standardContextual"/>
        </w:rPr>
        <w:t>, 44–60</w:t>
      </w:r>
    </w:p>
    <w:p w14:paraId="4FD31042" w14:textId="1A472AD8" w:rsidR="4B3F11CF" w:rsidRDefault="00531F36" w:rsidP="53472205">
      <w:pPr>
        <w:spacing w:after="200"/>
        <w:ind w:left="900"/>
        <w:rPr>
          <w:rFonts w:eastAsia="Times New Roman"/>
          <w:color w:val="333333"/>
        </w:rPr>
      </w:pPr>
      <w:r w:rsidRPr="53472205">
        <w:t xml:space="preserve"> </w:t>
      </w:r>
      <w:r w:rsidR="00B26766" w:rsidRPr="53472205">
        <w:t>“</w:t>
      </w:r>
      <w:r w:rsidR="009E46D0" w:rsidRPr="002107A6">
        <w:t xml:space="preserve">The war between Miletus and Samos </w:t>
      </w:r>
      <w:proofErr w:type="spellStart"/>
      <w:r w:rsidR="00680B67" w:rsidRPr="4B05B5F4">
        <w:rPr>
          <w:rFonts w:ascii="New Athena Unicode" w:eastAsia="New Athena Unicode" w:hAnsi="New Athena Unicode" w:cs="New Athena Unicode"/>
          <w:lang w:val="el-GR"/>
        </w:rPr>
        <w:t>περὶ</w:t>
      </w:r>
      <w:proofErr w:type="spellEnd"/>
      <w:r w:rsidR="00680B67" w:rsidRPr="007163D1">
        <w:rPr>
          <w:rFonts w:ascii="New Athena Unicode" w:eastAsia="New Athena Unicode" w:hAnsi="New Athena Unicode" w:cs="New Athena Unicode"/>
        </w:rPr>
        <w:t xml:space="preserve"> </w:t>
      </w:r>
      <w:proofErr w:type="spellStart"/>
      <w:r w:rsidR="00680B67" w:rsidRPr="4B05B5F4">
        <w:rPr>
          <w:rFonts w:ascii="New Athena Unicode" w:eastAsia="New Athena Unicode" w:hAnsi="New Athena Unicode" w:cs="New Athena Unicode"/>
          <w:lang w:val="el-GR"/>
        </w:rPr>
        <w:t>Πριήνης</w:t>
      </w:r>
      <w:proofErr w:type="spellEnd"/>
      <w:r w:rsidR="009E46D0" w:rsidRPr="4B05B5F4">
        <w:rPr>
          <w:rFonts w:ascii="Aristarcoj,Times New Roman" w:eastAsia="Aristarcoj,Times New Roman" w:hAnsi="Aristarcoj,Times New Roman" w:cs="Aristarcoj,Times New Roman"/>
          <w:color w:val="333333"/>
          <w:shd w:val="clear" w:color="auto" w:fill="FCFCFA"/>
          <w14:ligatures w14:val="standardContextual"/>
        </w:rPr>
        <w:t xml:space="preserve"> </w:t>
      </w:r>
      <w:r w:rsidR="009E46D0" w:rsidRPr="4AA4E258">
        <w:rPr>
          <w:color w:val="333333"/>
          <w:shd w:val="clear" w:color="auto" w:fill="FCFCFA"/>
          <w14:ligatures w14:val="standardContextual"/>
        </w:rPr>
        <w:t>(</w:t>
      </w:r>
      <w:proofErr w:type="spellStart"/>
      <w:r w:rsidR="009E46D0" w:rsidRPr="4AA4E258">
        <w:rPr>
          <w:color w:val="333333"/>
          <w:shd w:val="clear" w:color="auto" w:fill="FCFCFA"/>
          <w14:ligatures w14:val="standardContextual"/>
        </w:rPr>
        <w:t>Thuc</w:t>
      </w:r>
      <w:proofErr w:type="spellEnd"/>
      <w:r w:rsidR="009E46D0" w:rsidRPr="4AA4E258">
        <w:rPr>
          <w:color w:val="333333"/>
          <w:shd w:val="clear" w:color="auto" w:fill="FCFCFA"/>
          <w14:ligatures w14:val="standardContextual"/>
        </w:rPr>
        <w:t xml:space="preserve">. 1.115.2; </w:t>
      </w:r>
      <w:proofErr w:type="spellStart"/>
      <w:r w:rsidR="009E46D0" w:rsidRPr="4AA4E258">
        <w:rPr>
          <w:color w:val="333333"/>
          <w:shd w:val="clear" w:color="auto" w:fill="FCFCFA"/>
          <w14:ligatures w14:val="standardContextual"/>
        </w:rPr>
        <w:t>Diod</w:t>
      </w:r>
      <w:proofErr w:type="spellEnd"/>
      <w:r w:rsidR="009E46D0" w:rsidRPr="4AA4E258">
        <w:rPr>
          <w:color w:val="333333"/>
          <w:shd w:val="clear" w:color="auto" w:fill="FCFCFA"/>
          <w14:ligatures w14:val="standardContextual"/>
        </w:rPr>
        <w:t xml:space="preserve">. 12.27.2; and </w:t>
      </w:r>
      <w:proofErr w:type="spellStart"/>
      <w:r w:rsidR="009E46D0" w:rsidRPr="4AA4E258">
        <w:rPr>
          <w:color w:val="333333"/>
          <w:shd w:val="clear" w:color="auto" w:fill="FCFCFA"/>
          <w14:ligatures w14:val="standardContextual"/>
        </w:rPr>
        <w:t>Plut</w:t>
      </w:r>
      <w:proofErr w:type="spellEnd"/>
      <w:r w:rsidR="009E46D0" w:rsidRPr="4AA4E258">
        <w:rPr>
          <w:color w:val="333333"/>
          <w:shd w:val="clear" w:color="auto" w:fill="FCFCFA"/>
          <w14:ligatures w14:val="standardContextual"/>
        </w:rPr>
        <w:t xml:space="preserve">. </w:t>
      </w:r>
      <w:r w:rsidR="009E46D0" w:rsidRPr="392DD615">
        <w:rPr>
          <w:i/>
          <w:iCs/>
          <w:color w:val="333333"/>
          <w:shd w:val="clear" w:color="auto" w:fill="FCFCFA"/>
          <w14:ligatures w14:val="standardContextual"/>
        </w:rPr>
        <w:t>Per.</w:t>
      </w:r>
      <w:r w:rsidR="009E46D0" w:rsidRPr="4AA4E258">
        <w:rPr>
          <w:color w:val="333333"/>
          <w:shd w:val="clear" w:color="auto" w:fill="FCFCFA"/>
          <w14:ligatures w14:val="standardContextual"/>
        </w:rPr>
        <w:t>, 25.1)</w:t>
      </w:r>
      <w:r w:rsidR="00B26766" w:rsidRPr="4AA4E258">
        <w:rPr>
          <w:rFonts w:eastAsia="Times New Roman"/>
          <w:color w:val="333333"/>
          <w:shd w:val="clear" w:color="auto" w:fill="FCFCFA"/>
          <w14:ligatures w14:val="standardContextual"/>
        </w:rPr>
        <w:t>,”</w:t>
      </w:r>
      <w:r w:rsidR="009E46D0" w:rsidRPr="4AA4E258">
        <w:rPr>
          <w:rFonts w:eastAsia="Times New Roman"/>
          <w:color w:val="333333"/>
          <w:shd w:val="clear" w:color="auto" w:fill="FCFCFA"/>
          <w14:ligatures w14:val="standardContextual"/>
        </w:rPr>
        <w:t xml:space="preserve"> </w:t>
      </w:r>
      <w:r w:rsidR="009E46D0" w:rsidRPr="392DD615">
        <w:rPr>
          <w:i/>
          <w:iCs/>
          <w:color w:val="333333"/>
          <w:shd w:val="clear" w:color="auto" w:fill="FCFCFA"/>
          <w14:ligatures w14:val="standardContextual"/>
        </w:rPr>
        <w:t>Classical Quarterly</w:t>
      </w:r>
      <w:r w:rsidR="009E46D0" w:rsidRPr="392DD615">
        <w:rPr>
          <w:i/>
          <w:iCs/>
          <w:color w:val="333333"/>
          <w:shd w:val="clear" w:color="auto" w:fill="FCFCFA"/>
          <w:vertAlign w:val="superscript"/>
          <w14:ligatures w14:val="standardContextual"/>
        </w:rPr>
        <w:t>2</w:t>
      </w:r>
      <w:r w:rsidR="0099056D" w:rsidRPr="392DD615">
        <w:rPr>
          <w:rFonts w:eastAsia="Times New Roman"/>
          <w:i/>
          <w:iCs/>
          <w:color w:val="333333"/>
          <w:shd w:val="clear" w:color="auto" w:fill="FCFCFA"/>
          <w14:ligatures w14:val="standardContextual"/>
        </w:rPr>
        <w:t xml:space="preserve"> </w:t>
      </w:r>
      <w:r w:rsidR="0099056D" w:rsidRPr="4AA4E258">
        <w:rPr>
          <w:color w:val="333333"/>
          <w:shd w:val="clear" w:color="auto" w:fill="FCFCFA"/>
          <w14:ligatures w14:val="standardContextual"/>
        </w:rPr>
        <w:t>66</w:t>
      </w:r>
      <w:r w:rsidR="009E46D0" w:rsidRPr="392DD615">
        <w:rPr>
          <w:rFonts w:eastAsia="Times New Roman"/>
          <w:i/>
          <w:iCs/>
          <w:color w:val="333333"/>
          <w:shd w:val="clear" w:color="auto" w:fill="FCFCFA"/>
          <w14:ligatures w14:val="standardContextual"/>
        </w:rPr>
        <w:t xml:space="preserve"> </w:t>
      </w:r>
      <w:r w:rsidR="00C1789A">
        <w:rPr>
          <w:rFonts w:eastAsia="Times New Roman"/>
          <w:color w:val="333333"/>
          <w:shd w:val="clear" w:color="auto" w:fill="FCFCFA"/>
          <w14:ligatures w14:val="standardContextual"/>
        </w:rPr>
        <w:t>(</w:t>
      </w:r>
      <w:r w:rsidR="0090536C" w:rsidRPr="4AA4E258">
        <w:rPr>
          <w:color w:val="333333"/>
          <w:shd w:val="clear" w:color="auto" w:fill="FCFCFA"/>
          <w14:ligatures w14:val="standardContextual"/>
        </w:rPr>
        <w:t>2016</w:t>
      </w:r>
      <w:r w:rsidR="00C1789A">
        <w:rPr>
          <w:color w:val="333333"/>
          <w:shd w:val="clear" w:color="auto" w:fill="FCFCFA"/>
          <w14:ligatures w14:val="standardContextual"/>
        </w:rPr>
        <w:t>)</w:t>
      </w:r>
      <w:r w:rsidR="005D4620" w:rsidRPr="4AA4E258">
        <w:rPr>
          <w:color w:val="333333"/>
          <w:shd w:val="clear" w:color="auto" w:fill="FCFCFA"/>
          <w14:ligatures w14:val="standardContextual"/>
        </w:rPr>
        <w:t>, 772</w:t>
      </w:r>
      <w:r w:rsidR="00467FD0" w:rsidRPr="4AA4E258">
        <w:rPr>
          <w:rFonts w:eastAsia="Times New Roman"/>
          <w:color w:val="333333"/>
          <w:shd w:val="clear" w:color="auto" w:fill="FCFCFA"/>
          <w14:ligatures w14:val="standardContextual"/>
        </w:rPr>
        <w:t>–</w:t>
      </w:r>
      <w:r w:rsidR="005D4620" w:rsidRPr="4AA4E258">
        <w:rPr>
          <w:color w:val="333333"/>
          <w:shd w:val="clear" w:color="auto" w:fill="FCFCFA"/>
          <w14:ligatures w14:val="standardContextual"/>
        </w:rPr>
        <w:t>4</w:t>
      </w:r>
    </w:p>
    <w:p w14:paraId="3206219A" w14:textId="44390556" w:rsidR="00100382" w:rsidRPr="00100382" w:rsidRDefault="4AA4E258" w:rsidP="4AA4E258">
      <w:pPr>
        <w:tabs>
          <w:tab w:val="left" w:pos="990"/>
        </w:tabs>
        <w:spacing w:after="200"/>
        <w:outlineLvl w:val="0"/>
        <w:rPr>
          <w:b/>
          <w:bCs/>
        </w:rPr>
      </w:pPr>
      <w:r w:rsidRPr="4AA4E258">
        <w:rPr>
          <w:b/>
          <w:bCs/>
        </w:rPr>
        <w:t>Book Reviews</w:t>
      </w:r>
    </w:p>
    <w:p w14:paraId="45B41E4E" w14:textId="2C81D22F" w:rsidR="00C71C89" w:rsidRDefault="4AA4E258" w:rsidP="005C69C1">
      <w:pPr>
        <w:spacing w:after="200"/>
        <w:ind w:left="900"/>
      </w:pPr>
      <w:r>
        <w:t xml:space="preserve">P. </w:t>
      </w:r>
      <w:proofErr w:type="spellStart"/>
      <w:r>
        <w:t>Briant</w:t>
      </w:r>
      <w:proofErr w:type="spellEnd"/>
      <w:r>
        <w:t xml:space="preserve">, </w:t>
      </w:r>
      <w:r w:rsidRPr="4AA4E258">
        <w:rPr>
          <w:i/>
          <w:iCs/>
        </w:rPr>
        <w:t xml:space="preserve">The First European: A History of Alexander in the Age of Empire </w:t>
      </w:r>
      <w:r>
        <w:t xml:space="preserve">Trans. N. Elliott (Cambridge: Harvard University Press, 2017), </w:t>
      </w:r>
      <w:r w:rsidRPr="4AA4E258">
        <w:rPr>
          <w:i/>
          <w:iCs/>
        </w:rPr>
        <w:t>CJ-</w:t>
      </w:r>
      <w:r w:rsidR="00C1789A">
        <w:t>Online (January 2018), 901 words</w:t>
      </w:r>
      <w:r>
        <w:t xml:space="preserve"> </w:t>
      </w:r>
    </w:p>
    <w:p w14:paraId="50A76B6E" w14:textId="5DAD128C" w:rsidR="009E46D0" w:rsidRPr="002107A6" w:rsidRDefault="53472205" w:rsidP="005C69C1">
      <w:pPr>
        <w:spacing w:after="200"/>
        <w:ind w:left="900"/>
      </w:pPr>
      <w:r>
        <w:t xml:space="preserve">P. Bosman (ed.), </w:t>
      </w:r>
      <w:r w:rsidRPr="53472205">
        <w:rPr>
          <w:i/>
          <w:iCs/>
          <w:lang w:val="en-GB"/>
        </w:rPr>
        <w:t xml:space="preserve">Alexander in Africa. Acta Classica </w:t>
      </w:r>
      <w:proofErr w:type="spellStart"/>
      <w:r w:rsidRPr="53472205">
        <w:rPr>
          <w:i/>
          <w:iCs/>
          <w:lang w:val="en-GB"/>
        </w:rPr>
        <w:t>Supplementum</w:t>
      </w:r>
      <w:proofErr w:type="spellEnd"/>
      <w:r w:rsidRPr="53472205">
        <w:rPr>
          <w:i/>
          <w:iCs/>
          <w:lang w:val="en-GB"/>
        </w:rPr>
        <w:t xml:space="preserve"> V </w:t>
      </w:r>
      <w:r w:rsidRPr="53472205">
        <w:rPr>
          <w:lang w:val="en-GB"/>
        </w:rPr>
        <w:t>(Pretoria: V&amp;R Printing Works,</w:t>
      </w:r>
      <w:r>
        <w:t xml:space="preserve"> 2014), </w:t>
      </w:r>
      <w:r w:rsidRPr="53472205">
        <w:rPr>
          <w:i/>
          <w:iCs/>
        </w:rPr>
        <w:t>Acta Classica</w:t>
      </w:r>
      <w:r w:rsidR="00C1789A">
        <w:t xml:space="preserve"> 59 (2016), 1629 words</w:t>
      </w:r>
    </w:p>
    <w:p w14:paraId="02789F86" w14:textId="55B7E255" w:rsidR="009A478F" w:rsidRDefault="53472205" w:rsidP="005C69C1">
      <w:pPr>
        <w:spacing w:after="200"/>
        <w:ind w:left="900"/>
      </w:pPr>
      <w:r>
        <w:t>N. Horton and S. Kinoshita (</w:t>
      </w:r>
      <w:proofErr w:type="spellStart"/>
      <w:r>
        <w:t>edd</w:t>
      </w:r>
      <w:proofErr w:type="spellEnd"/>
      <w:r>
        <w:t xml:space="preserve">.), </w:t>
      </w:r>
      <w:r w:rsidRPr="53472205">
        <w:rPr>
          <w:i/>
          <w:iCs/>
        </w:rPr>
        <w:t>A Companion to Mediterranean History</w:t>
      </w:r>
      <w:r>
        <w:t xml:space="preserve"> (Malden: Blackwell, 20</w:t>
      </w:r>
      <w:r w:rsidR="00C1789A">
        <w:t>14), H-Net reviews, H-War List (March 2015), 800 words</w:t>
      </w:r>
    </w:p>
    <w:p w14:paraId="6A469D1C" w14:textId="7291467C" w:rsidR="00100382" w:rsidRPr="00100382" w:rsidRDefault="5322FADC" w:rsidP="4AA4E258">
      <w:pPr>
        <w:spacing w:after="200"/>
        <w:outlineLvl w:val="0"/>
        <w:rPr>
          <w:b/>
          <w:bCs/>
        </w:rPr>
      </w:pPr>
      <w:r w:rsidRPr="5322FADC">
        <w:rPr>
          <w:b/>
          <w:bCs/>
        </w:rPr>
        <w:t>In Preparation</w:t>
      </w:r>
    </w:p>
    <w:p w14:paraId="3A2AEAE6" w14:textId="0CE31001" w:rsidR="5322FADC" w:rsidRDefault="71A84DC9" w:rsidP="5322FADC">
      <w:pPr>
        <w:spacing w:after="200"/>
        <w:ind w:left="900"/>
      </w:pPr>
      <w:r w:rsidRPr="71A84DC9">
        <w:rPr>
          <w:i/>
          <w:iCs/>
        </w:rPr>
        <w:t xml:space="preserve">Accustomed to </w:t>
      </w:r>
      <w:proofErr w:type="gramStart"/>
      <w:r w:rsidRPr="71A84DC9">
        <w:rPr>
          <w:i/>
          <w:iCs/>
        </w:rPr>
        <w:t>Obedience?:</w:t>
      </w:r>
      <w:proofErr w:type="gramEnd"/>
      <w:r w:rsidRPr="71A84DC9">
        <w:rPr>
          <w:i/>
          <w:iCs/>
        </w:rPr>
        <w:t xml:space="preserve"> A History of Classical Ionia  </w:t>
      </w:r>
      <w:r>
        <w:t>[dissertation monograph; under revision, proposal submitted to University of Michigan Press on 4/10/19]</w:t>
      </w:r>
    </w:p>
    <w:p w14:paraId="7EAF49BD" w14:textId="06C8EEBF" w:rsidR="4407F92F" w:rsidRDefault="56640FF5" w:rsidP="4407F92F">
      <w:pPr>
        <w:spacing w:after="200"/>
        <w:ind w:left="900"/>
      </w:pPr>
      <w:r>
        <w:t xml:space="preserve">“Remembering injustice as the </w:t>
      </w:r>
      <w:proofErr w:type="gramStart"/>
      <w:r>
        <w:t>perpetrator?:</w:t>
      </w:r>
      <w:proofErr w:type="gramEnd"/>
      <w:r>
        <w:t xml:space="preserve"> Orators, Cultural Memory, and the Athenian Conquest of Samos” [chapter for </w:t>
      </w:r>
      <w:r w:rsidRPr="56640FF5">
        <w:rPr>
          <w:i/>
          <w:iCs/>
        </w:rPr>
        <w:t>The Orators and their Treatment of the Recent Past</w:t>
      </w:r>
      <w:r>
        <w:t xml:space="preserve">, ed. A. </w:t>
      </w:r>
      <w:proofErr w:type="spellStart"/>
      <w:r>
        <w:t>Kapellos</w:t>
      </w:r>
      <w:proofErr w:type="spellEnd"/>
      <w:r>
        <w:t>, for De Gruyter’s</w:t>
      </w:r>
      <w:r w:rsidRPr="56640FF5">
        <w:rPr>
          <w:i/>
          <w:iCs/>
        </w:rPr>
        <w:t xml:space="preserve"> </w:t>
      </w:r>
      <w:r>
        <w:t xml:space="preserve">series </w:t>
      </w:r>
      <w:r w:rsidRPr="56640FF5">
        <w:rPr>
          <w:i/>
          <w:iCs/>
        </w:rPr>
        <w:t>Trends in Classics</w:t>
      </w:r>
      <w:r w:rsidR="00065341">
        <w:t>, submitted 6/5/20</w:t>
      </w:r>
      <w:r>
        <w:t>]</w:t>
      </w:r>
      <w:r w:rsidR="00065341">
        <w:t xml:space="preserve"> 6055 words</w:t>
      </w:r>
    </w:p>
    <w:p w14:paraId="4E0EA9A4" w14:textId="550AE104" w:rsidR="4407F92F" w:rsidRDefault="392DD615" w:rsidP="4407F92F">
      <w:pPr>
        <w:spacing w:after="200"/>
        <w:ind w:left="900"/>
      </w:pPr>
      <w:r>
        <w:t xml:space="preserve">"'On few other occasions did Alexander achieve such renown': </w:t>
      </w:r>
      <w:proofErr w:type="spellStart"/>
      <w:r>
        <w:t>Arrian</w:t>
      </w:r>
      <w:proofErr w:type="spellEnd"/>
      <w:r>
        <w:t xml:space="preserve"> 1.17.10–12 and the history of Ephesus in the fourth century BCE" [research article]</w:t>
      </w:r>
    </w:p>
    <w:p w14:paraId="56CCA546" w14:textId="79005F0D" w:rsidR="392DD615" w:rsidRDefault="392DD615" w:rsidP="392DD615">
      <w:pPr>
        <w:spacing w:after="200"/>
        <w:ind w:left="900"/>
        <w:rPr>
          <w:i/>
          <w:iCs/>
        </w:rPr>
      </w:pPr>
      <w:r>
        <w:t xml:space="preserve">Entries for </w:t>
      </w:r>
      <w:r w:rsidRPr="392DD615">
        <w:rPr>
          <w:i/>
          <w:iCs/>
        </w:rPr>
        <w:t>Brill’s New Jacoby</w:t>
      </w:r>
      <w:r w:rsidRPr="392DD615">
        <w:rPr>
          <w:i/>
          <w:iCs/>
          <w:vertAlign w:val="superscript"/>
        </w:rPr>
        <w:t>2</w:t>
      </w:r>
      <w:r w:rsidRPr="392DD615">
        <w:t>:</w:t>
      </w:r>
      <w:r w:rsidRPr="392DD615">
        <w:rPr>
          <w:i/>
          <w:iCs/>
        </w:rPr>
        <w:t xml:space="preserve"> </w:t>
      </w:r>
      <w:proofErr w:type="spellStart"/>
      <w:r w:rsidRPr="392DD615">
        <w:t>Mnesiptolemos</w:t>
      </w:r>
      <w:proofErr w:type="spellEnd"/>
      <w:r w:rsidRPr="392DD615">
        <w:t xml:space="preserve"> of </w:t>
      </w:r>
      <w:proofErr w:type="spellStart"/>
      <w:r w:rsidRPr="392DD615">
        <w:t>Kyme</w:t>
      </w:r>
      <w:proofErr w:type="spellEnd"/>
      <w:r w:rsidRPr="392DD615">
        <w:t xml:space="preserve"> (164); </w:t>
      </w:r>
      <w:proofErr w:type="spellStart"/>
      <w:r w:rsidRPr="392DD615">
        <w:t>Anaxikrates</w:t>
      </w:r>
      <w:proofErr w:type="spellEnd"/>
      <w:r w:rsidRPr="392DD615">
        <w:t xml:space="preserve"> (307); </w:t>
      </w:r>
      <w:proofErr w:type="spellStart"/>
      <w:r w:rsidRPr="392DD615">
        <w:t>Telesarchos</w:t>
      </w:r>
      <w:proofErr w:type="spellEnd"/>
      <w:r w:rsidRPr="392DD615">
        <w:t xml:space="preserve"> (309); </w:t>
      </w:r>
      <w:proofErr w:type="spellStart"/>
      <w:r w:rsidRPr="392DD615">
        <w:t>Aristonymos</w:t>
      </w:r>
      <w:proofErr w:type="spellEnd"/>
      <w:r w:rsidRPr="392DD615">
        <w:t xml:space="preserve"> (510); </w:t>
      </w:r>
      <w:proofErr w:type="spellStart"/>
      <w:r w:rsidRPr="392DD615">
        <w:t>Eukrates</w:t>
      </w:r>
      <w:proofErr w:type="spellEnd"/>
      <w:r w:rsidRPr="392DD615">
        <w:t xml:space="preserve"> (514); </w:t>
      </w:r>
      <w:proofErr w:type="spellStart"/>
      <w:r w:rsidRPr="392DD615">
        <w:t>Semeronios</w:t>
      </w:r>
      <w:proofErr w:type="spellEnd"/>
      <w:r w:rsidRPr="392DD615">
        <w:t xml:space="preserve"> </w:t>
      </w:r>
      <w:proofErr w:type="spellStart"/>
      <w:r w:rsidRPr="392DD615">
        <w:t>Babylonios</w:t>
      </w:r>
      <w:proofErr w:type="spellEnd"/>
      <w:r w:rsidRPr="392DD615">
        <w:t xml:space="preserve"> (686); Dios (785); </w:t>
      </w:r>
      <w:proofErr w:type="spellStart"/>
      <w:r w:rsidRPr="392DD615">
        <w:t>Hestiaios</w:t>
      </w:r>
      <w:proofErr w:type="spellEnd"/>
      <w:r w:rsidRPr="392DD615">
        <w:t xml:space="preserve"> (786)</w:t>
      </w:r>
    </w:p>
    <w:p w14:paraId="721F9EDB" w14:textId="516344BE" w:rsidR="3D199D55" w:rsidRDefault="392DD615" w:rsidP="392DD615">
      <w:pPr>
        <w:spacing w:after="200"/>
        <w:ind w:left="900"/>
        <w:rPr>
          <w:i/>
          <w:iCs/>
        </w:rPr>
      </w:pPr>
      <w:r>
        <w:t xml:space="preserve">Review </w:t>
      </w:r>
      <w:proofErr w:type="gramStart"/>
      <w:r>
        <w:t>of:</w:t>
      </w:r>
      <w:proofErr w:type="gramEnd"/>
      <w:r>
        <w:t xml:space="preserve"> Rosalind Thomas, </w:t>
      </w:r>
      <w:r w:rsidRPr="392DD615">
        <w:rPr>
          <w:i/>
          <w:iCs/>
        </w:rPr>
        <w:t>Polis Histories, Collective Memories and the Greek World</w:t>
      </w:r>
      <w:r>
        <w:t xml:space="preserve"> [Submitted to </w:t>
      </w:r>
      <w:r w:rsidRPr="392DD615">
        <w:rPr>
          <w:i/>
          <w:iCs/>
        </w:rPr>
        <w:t xml:space="preserve">CJ–Reviews, </w:t>
      </w:r>
      <w:r w:rsidRPr="392DD615">
        <w:t>Jan 10, 2020], 1116 words</w:t>
      </w:r>
    </w:p>
    <w:p w14:paraId="5AF08698" w14:textId="532E72BD" w:rsidR="00C0227E" w:rsidRPr="005C2AF3" w:rsidRDefault="476043B5" w:rsidP="0097591B">
      <w:pPr>
        <w:pBdr>
          <w:bottom w:val="single" w:sz="4" w:space="1" w:color="auto"/>
        </w:pBdr>
        <w:spacing w:after="200"/>
        <w:outlineLvl w:val="0"/>
        <w:rPr>
          <w:smallCaps/>
          <w:sz w:val="32"/>
          <w:szCs w:val="32"/>
        </w:rPr>
      </w:pPr>
      <w:r w:rsidRPr="005C2AF3">
        <w:rPr>
          <w:smallCaps/>
          <w:kern w:val="28"/>
          <w:sz w:val="32"/>
          <w:szCs w:val="32"/>
        </w:rPr>
        <w:t>Presentations</w:t>
      </w:r>
    </w:p>
    <w:p w14:paraId="75058C7F" w14:textId="09BDDF29" w:rsidR="1532FB02" w:rsidRDefault="6A89AC07" w:rsidP="3CD048D4">
      <w:pPr>
        <w:spacing w:after="200"/>
        <w:outlineLvl w:val="0"/>
        <w:rPr>
          <w:b/>
          <w:bCs/>
        </w:rPr>
      </w:pPr>
      <w:r w:rsidRPr="6A89AC07">
        <w:rPr>
          <w:b/>
          <w:bCs/>
        </w:rPr>
        <w:t>Conference Papers</w:t>
      </w:r>
    </w:p>
    <w:p w14:paraId="71F2FDF1" w14:textId="0D638368" w:rsidR="00820B34" w:rsidRDefault="3D199D55" w:rsidP="6A89AC07">
      <w:pPr>
        <w:spacing w:after="200"/>
        <w:ind w:left="900"/>
      </w:pPr>
      <w:r>
        <w:lastRenderedPageBreak/>
        <w:t>“Tell me about the bakeshops: Bread baking and the public foodscape of the Greek city” at the 115</w:t>
      </w:r>
      <w:r w:rsidRPr="3D199D55">
        <w:rPr>
          <w:vertAlign w:val="superscript"/>
        </w:rPr>
        <w:t>th</w:t>
      </w:r>
      <w:r>
        <w:t xml:space="preserve"> CAMWS Annual Meeting, Lincoln, NE (April 2019)</w:t>
      </w:r>
    </w:p>
    <w:p w14:paraId="5FCB2C73" w14:textId="19B268A1" w:rsidR="6A89AC07" w:rsidRDefault="3D199D55" w:rsidP="6A89AC07">
      <w:pPr>
        <w:spacing w:after="200"/>
        <w:ind w:left="900"/>
      </w:pPr>
      <w:r>
        <w:t xml:space="preserve">“Cutting an Ephesian (Historiographical) Knot: Alexander and Ephesus in </w:t>
      </w:r>
      <w:proofErr w:type="spellStart"/>
      <w:r>
        <w:t>Arrian</w:t>
      </w:r>
      <w:proofErr w:type="spellEnd"/>
      <w:r>
        <w:t xml:space="preserve"> </w:t>
      </w:r>
      <w:r w:rsidRPr="3D199D55">
        <w:rPr>
          <w:i/>
          <w:iCs/>
        </w:rPr>
        <w:t>Anabasis</w:t>
      </w:r>
      <w:r>
        <w:t xml:space="preserve"> 1.17.10–12” at the Eugene Lane Occasional Papers in Ancient Studies, Columbia, MO (November 2018)</w:t>
      </w:r>
    </w:p>
    <w:p w14:paraId="5FCC8FDB" w14:textId="0C445B1A" w:rsidR="1532FB02" w:rsidRDefault="3D199D55" w:rsidP="1532FB02">
      <w:pPr>
        <w:spacing w:after="200"/>
        <w:ind w:left="900"/>
      </w:pPr>
      <w:r>
        <w:t xml:space="preserve">“Three Years in Ephesus: Philip, Alexander and Local Politics in Asia Minor, 336–333” at “Monarchy and Power in Ancient Macedonia,” Edmonton, AB (May 2018) </w:t>
      </w:r>
    </w:p>
    <w:p w14:paraId="20829B2E" w14:textId="3BDEB289" w:rsidR="00384BF0" w:rsidRPr="00C0227E" w:rsidRDefault="00384BF0" w:rsidP="001F1566">
      <w:pPr>
        <w:tabs>
          <w:tab w:val="left" w:pos="360"/>
        </w:tabs>
        <w:spacing w:after="200"/>
        <w:ind w:left="900"/>
      </w:pPr>
      <w:r w:rsidRPr="3CD048D4">
        <w:rPr>
          <w:rFonts w:eastAsia="Times New Roman"/>
          <w:kern w:val="0"/>
        </w:rPr>
        <w:t>“</w:t>
      </w:r>
      <w:r>
        <w:t xml:space="preserve">Accustomed to </w:t>
      </w:r>
      <w:proofErr w:type="gramStart"/>
      <w:r>
        <w:t>Obedience?:</w:t>
      </w:r>
      <w:proofErr w:type="gramEnd"/>
      <w:r>
        <w:t xml:space="preserve"> the Ionian reputation for weakness,” at the 113</w:t>
      </w:r>
      <w:r w:rsidRPr="00384BF0">
        <w:rPr>
          <w:vertAlign w:val="superscript"/>
        </w:rPr>
        <w:t>th</w:t>
      </w:r>
      <w:r>
        <w:t xml:space="preserve"> CAMWS</w:t>
      </w:r>
      <w:r w:rsidR="00C1789A">
        <w:t xml:space="preserve"> Annual Meeting, Kitchener, ON (</w:t>
      </w:r>
      <w:r w:rsidR="008964A7">
        <w:t>April</w:t>
      </w:r>
      <w:r w:rsidR="00C1789A">
        <w:t xml:space="preserve"> 2017)</w:t>
      </w:r>
    </w:p>
    <w:p w14:paraId="3300154B" w14:textId="26F2F371" w:rsidR="008964A7" w:rsidRPr="00C0227E" w:rsidRDefault="008964A7" w:rsidP="3D199D55">
      <w:pPr>
        <w:tabs>
          <w:tab w:val="left" w:pos="360"/>
        </w:tabs>
        <w:spacing w:after="200"/>
        <w:ind w:left="900"/>
        <w:rPr>
          <w:rFonts w:eastAsia="Times New Roman"/>
        </w:rPr>
      </w:pPr>
      <w:r w:rsidRPr="3CD048D4">
        <w:rPr>
          <w:kern w:val="0"/>
        </w:rPr>
        <w:t>“Remembering the Martial Prowess of Ancient Ionia,” at the 60</w:t>
      </w:r>
      <w:r w:rsidRPr="3CD048D4">
        <w:rPr>
          <w:kern w:val="0"/>
          <w:vertAlign w:val="superscript"/>
        </w:rPr>
        <w:t>th</w:t>
      </w:r>
      <w:r w:rsidRPr="3CD048D4">
        <w:rPr>
          <w:kern w:val="0"/>
        </w:rPr>
        <w:t xml:space="preserve"> Missouri Valley</w:t>
      </w:r>
      <w:r w:rsidR="00C1789A">
        <w:rPr>
          <w:kern w:val="0"/>
        </w:rPr>
        <w:t xml:space="preserve"> History Conference, Omaha, NE (</w:t>
      </w:r>
      <w:r w:rsidRPr="3CD048D4">
        <w:rPr>
          <w:kern w:val="0"/>
        </w:rPr>
        <w:t>March 2017</w:t>
      </w:r>
      <w:r w:rsidR="00C1789A" w:rsidRPr="3D199D55">
        <w:t>)</w:t>
      </w:r>
    </w:p>
    <w:p w14:paraId="6205FEBB" w14:textId="0A8537EC" w:rsidR="009E46D0" w:rsidRPr="00C0227E" w:rsidRDefault="009E46D0" w:rsidP="3D199D55">
      <w:pPr>
        <w:tabs>
          <w:tab w:val="left" w:pos="360"/>
        </w:tabs>
        <w:spacing w:after="200"/>
        <w:ind w:left="900"/>
        <w:rPr>
          <w:rFonts w:eastAsia="Times New Roman"/>
        </w:rPr>
      </w:pPr>
      <w:r w:rsidRPr="5322FADC">
        <w:rPr>
          <w:rFonts w:eastAsia="Times New Roman"/>
          <w:kern w:val="0"/>
        </w:rPr>
        <w:t>“</w:t>
      </w:r>
      <w:r w:rsidRPr="5322FADC">
        <w:rPr>
          <w:color w:val="000000"/>
          <w:kern w:val="0"/>
          <w:shd w:val="clear" w:color="auto" w:fill="FFFFFF"/>
        </w:rPr>
        <w:t xml:space="preserve">How to Restart an Oracle: Politics, Propaganda, and the Oracle of Apollo at </w:t>
      </w:r>
      <w:proofErr w:type="spellStart"/>
      <w:r w:rsidRPr="5322FADC">
        <w:rPr>
          <w:color w:val="000000"/>
          <w:kern w:val="0"/>
          <w:shd w:val="clear" w:color="auto" w:fill="FFFFFF"/>
        </w:rPr>
        <w:t>Didyma</w:t>
      </w:r>
      <w:proofErr w:type="spellEnd"/>
      <w:r w:rsidRPr="5322FADC">
        <w:rPr>
          <w:color w:val="000000"/>
          <w:kern w:val="0"/>
          <w:shd w:val="clear" w:color="auto" w:fill="FFFFFF"/>
        </w:rPr>
        <w:t xml:space="preserve"> c.305</w:t>
      </w:r>
      <w:r w:rsidR="00495803" w:rsidRPr="5322FADC">
        <w:rPr>
          <w:rFonts w:eastAsia="Times New Roman"/>
          <w:color w:val="000000"/>
          <w:kern w:val="0"/>
          <w:shd w:val="clear" w:color="auto" w:fill="FFFFFF"/>
        </w:rPr>
        <w:t>–</w:t>
      </w:r>
      <w:r w:rsidRPr="5322FADC">
        <w:rPr>
          <w:color w:val="000000"/>
          <w:kern w:val="0"/>
          <w:shd w:val="clear" w:color="auto" w:fill="FFFFFF"/>
        </w:rPr>
        <w:t>300 BCE,</w:t>
      </w:r>
      <w:r w:rsidRPr="5322FADC">
        <w:rPr>
          <w:kern w:val="0"/>
        </w:rPr>
        <w:t>” at the 112</w:t>
      </w:r>
      <w:r w:rsidRPr="5322FADC">
        <w:rPr>
          <w:kern w:val="0"/>
          <w:vertAlign w:val="superscript"/>
        </w:rPr>
        <w:t>th</w:t>
      </w:r>
      <w:r w:rsidRPr="5322FADC">
        <w:rPr>
          <w:kern w:val="0"/>
        </w:rPr>
        <w:t xml:space="preserve"> CAMWS Annual Meeting, Williamsburg, VA </w:t>
      </w:r>
      <w:r w:rsidR="00C1789A" w:rsidRPr="3D199D55">
        <w:t>(</w:t>
      </w:r>
      <w:r w:rsidRPr="5322FADC">
        <w:rPr>
          <w:kern w:val="0"/>
        </w:rPr>
        <w:t>March 2016</w:t>
      </w:r>
      <w:r w:rsidR="00C1789A" w:rsidRPr="3D199D55">
        <w:t>)</w:t>
      </w:r>
    </w:p>
    <w:p w14:paraId="709CBFFC" w14:textId="7A17E4A2" w:rsidR="009E46D0" w:rsidRPr="00C0227E" w:rsidRDefault="009E46D0" w:rsidP="3D199D55">
      <w:pPr>
        <w:tabs>
          <w:tab w:val="left" w:pos="360"/>
        </w:tabs>
        <w:spacing w:after="200"/>
        <w:ind w:left="900"/>
        <w:rPr>
          <w:rFonts w:eastAsia="Times New Roman"/>
        </w:rPr>
      </w:pPr>
      <w:r w:rsidRPr="5322FADC">
        <w:rPr>
          <w:kern w:val="0"/>
        </w:rPr>
        <w:t xml:space="preserve">“The Past Predicts the Future: manipulating myth and prophecy in the refoundation of the oracle of Apollo at </w:t>
      </w:r>
      <w:proofErr w:type="spellStart"/>
      <w:r w:rsidRPr="5322FADC">
        <w:rPr>
          <w:kern w:val="0"/>
        </w:rPr>
        <w:t>Didyma</w:t>
      </w:r>
      <w:proofErr w:type="spellEnd"/>
      <w:r w:rsidRPr="5322FADC">
        <w:rPr>
          <w:kern w:val="0"/>
        </w:rPr>
        <w:t xml:space="preserve"> c.305 BCE,” at the</w:t>
      </w:r>
      <w:r w:rsidR="00171240" w:rsidRPr="5322FADC">
        <w:rPr>
          <w:kern w:val="0"/>
        </w:rPr>
        <w:t xml:space="preserve"> 59</w:t>
      </w:r>
      <w:r w:rsidR="00171240" w:rsidRPr="5322FADC">
        <w:rPr>
          <w:kern w:val="0"/>
          <w:vertAlign w:val="superscript"/>
        </w:rPr>
        <w:t>th</w:t>
      </w:r>
      <w:r w:rsidRPr="5322FADC">
        <w:rPr>
          <w:kern w:val="0"/>
        </w:rPr>
        <w:t xml:space="preserve"> Missouri Valley History Conference</w:t>
      </w:r>
      <w:r w:rsidR="00171240" w:rsidRPr="5322FADC">
        <w:rPr>
          <w:kern w:val="0"/>
        </w:rPr>
        <w:t>, Omaha, NE</w:t>
      </w:r>
      <w:r w:rsidR="00C1789A">
        <w:rPr>
          <w:rFonts w:eastAsia="Times New Roman"/>
          <w:kern w:val="0"/>
        </w:rPr>
        <w:t xml:space="preserve"> (</w:t>
      </w:r>
      <w:r w:rsidRPr="5322FADC">
        <w:rPr>
          <w:kern w:val="0"/>
        </w:rPr>
        <w:t>March 2016</w:t>
      </w:r>
      <w:r w:rsidR="00C1789A" w:rsidRPr="3D199D55">
        <w:t>)</w:t>
      </w:r>
    </w:p>
    <w:p w14:paraId="29C40F88" w14:textId="64C5D03E" w:rsidR="009E46D0" w:rsidRPr="00C0227E" w:rsidRDefault="009E46D0" w:rsidP="3D199D55">
      <w:pPr>
        <w:widowControl/>
        <w:tabs>
          <w:tab w:val="left" w:pos="360"/>
        </w:tabs>
        <w:suppressAutoHyphens w:val="0"/>
        <w:spacing w:after="200"/>
        <w:ind w:left="900"/>
        <w:rPr>
          <w:rFonts w:ascii="Times,Times New Roman" w:eastAsia="Times,Times New Roman" w:hAnsi="Times,Times New Roman" w:cs="Times,Times New Roman"/>
        </w:rPr>
      </w:pPr>
      <w:r w:rsidRPr="2727FC66">
        <w:rPr>
          <w:kern w:val="0"/>
        </w:rPr>
        <w:t xml:space="preserve">“Whither the Ionian </w:t>
      </w:r>
      <w:proofErr w:type="gramStart"/>
      <w:r w:rsidRPr="2727FC66">
        <w:rPr>
          <w:kern w:val="0"/>
        </w:rPr>
        <w:t>League?:</w:t>
      </w:r>
      <w:proofErr w:type="gramEnd"/>
      <w:r w:rsidRPr="2727FC66">
        <w:rPr>
          <w:kern w:val="0"/>
        </w:rPr>
        <w:t xml:space="preserve"> interstate arbitration in classical Ionia,” at the Heartland Graduate </w:t>
      </w:r>
      <w:r w:rsidR="00C1789A">
        <w:rPr>
          <w:kern w:val="0"/>
        </w:rPr>
        <w:t>Student Workshop, Columbia, MO (</w:t>
      </w:r>
      <w:r w:rsidRPr="2727FC66">
        <w:rPr>
          <w:kern w:val="0"/>
        </w:rPr>
        <w:t>September 2015</w:t>
      </w:r>
      <w:r w:rsidR="00C1789A" w:rsidRPr="3D199D55">
        <w:t>)</w:t>
      </w:r>
    </w:p>
    <w:p w14:paraId="1DC2B185" w14:textId="00F9797E" w:rsidR="009E46D0" w:rsidRPr="00C0227E" w:rsidRDefault="009E46D0" w:rsidP="3D199D55">
      <w:pPr>
        <w:widowControl/>
        <w:tabs>
          <w:tab w:val="left" w:pos="360"/>
        </w:tabs>
        <w:suppressAutoHyphens w:val="0"/>
        <w:spacing w:after="200"/>
        <w:ind w:left="900"/>
        <w:rPr>
          <w:rFonts w:ascii="Times,Times New Roman" w:eastAsia="Times,Times New Roman" w:hAnsi="Times,Times New Roman" w:cs="Times,Times New Roman"/>
        </w:rPr>
      </w:pPr>
      <w:r w:rsidRPr="3CD048D4">
        <w:rPr>
          <w:color w:val="000000"/>
          <w:kern w:val="0"/>
          <w:shd w:val="clear" w:color="auto" w:fill="FFFFFF"/>
        </w:rPr>
        <w:t xml:space="preserve">“Does anyone care about the Greeks living in </w:t>
      </w:r>
      <w:proofErr w:type="gramStart"/>
      <w:r w:rsidRPr="3CD048D4">
        <w:rPr>
          <w:color w:val="000000"/>
          <w:kern w:val="0"/>
          <w:shd w:val="clear" w:color="auto" w:fill="FFFFFF"/>
        </w:rPr>
        <w:t>Asia?,</w:t>
      </w:r>
      <w:proofErr w:type="gramEnd"/>
      <w:r w:rsidRPr="3CD048D4">
        <w:rPr>
          <w:color w:val="000000"/>
          <w:kern w:val="0"/>
          <w:shd w:val="clear" w:color="auto" w:fill="FFFFFF"/>
        </w:rPr>
        <w:t>” at the 111</w:t>
      </w:r>
      <w:r w:rsidRPr="3CD048D4">
        <w:rPr>
          <w:color w:val="000000"/>
          <w:kern w:val="0"/>
          <w:shd w:val="clear" w:color="auto" w:fill="FFFFFF"/>
          <w:vertAlign w:val="superscript"/>
        </w:rPr>
        <w:t>th</w:t>
      </w:r>
      <w:r w:rsidRPr="3CD048D4">
        <w:rPr>
          <w:color w:val="000000"/>
          <w:kern w:val="0"/>
          <w:shd w:val="clear" w:color="auto" w:fill="FFFFFF"/>
        </w:rPr>
        <w:t xml:space="preserve"> CAMWS Annual Meeting, Boulder, CO </w:t>
      </w:r>
      <w:r w:rsidR="00C1789A">
        <w:rPr>
          <w:color w:val="000000"/>
          <w:kern w:val="0"/>
          <w:shd w:val="clear" w:color="auto" w:fill="FFFFFF"/>
        </w:rPr>
        <w:t>(</w:t>
      </w:r>
      <w:r w:rsidRPr="3CD048D4">
        <w:rPr>
          <w:color w:val="000000"/>
          <w:kern w:val="0"/>
          <w:shd w:val="clear" w:color="auto" w:fill="FFFFFF"/>
        </w:rPr>
        <w:t>March 2015</w:t>
      </w:r>
      <w:r w:rsidR="00C1789A">
        <w:rPr>
          <w:color w:val="000000"/>
          <w:kern w:val="0"/>
          <w:shd w:val="clear" w:color="auto" w:fill="FFFFFF"/>
        </w:rPr>
        <w:t>)</w:t>
      </w:r>
    </w:p>
    <w:p w14:paraId="7B9A63B2" w14:textId="6F9EBB5B" w:rsidR="009E46D0" w:rsidRPr="002107A6" w:rsidRDefault="3D199D55" w:rsidP="001F1566">
      <w:pPr>
        <w:tabs>
          <w:tab w:val="left" w:pos="360"/>
        </w:tabs>
        <w:spacing w:after="200"/>
        <w:ind w:left="900"/>
      </w:pPr>
      <w:r>
        <w:t xml:space="preserve">“Hellenizing the Hebrews: Representations of Moses as </w:t>
      </w:r>
      <w:proofErr w:type="spellStart"/>
      <w:r w:rsidRPr="3D199D55">
        <w:rPr>
          <w:lang w:val="el-GR"/>
        </w:rPr>
        <w:t>οἰκιστής</w:t>
      </w:r>
      <w:proofErr w:type="spellEnd"/>
      <w:r>
        <w:t>,” at the Heartland Graduate Student Workshop, Minneapolis, MN (September 2012)</w:t>
      </w:r>
    </w:p>
    <w:p w14:paraId="3CB11889" w14:textId="6EC22063" w:rsidR="009E46D0" w:rsidRPr="002107A6" w:rsidRDefault="3D199D55" w:rsidP="001F1566">
      <w:pPr>
        <w:tabs>
          <w:tab w:val="left" w:pos="360"/>
        </w:tabs>
        <w:spacing w:after="200"/>
        <w:ind w:left="900"/>
      </w:pPr>
      <w:r>
        <w:t>“Not One, But Three (Roman) Alexanders:  An evolution within the Roman portrayals of Alexander the Great,” at the 108</w:t>
      </w:r>
      <w:r w:rsidRPr="3D199D55">
        <w:rPr>
          <w:vertAlign w:val="superscript"/>
        </w:rPr>
        <w:t>th</w:t>
      </w:r>
      <w:r>
        <w:t xml:space="preserve"> CAMWS Annual Meeting, Baton Rouge, LA (March 2012)</w:t>
      </w:r>
    </w:p>
    <w:p w14:paraId="39263F11" w14:textId="76FAB7F8" w:rsidR="009E46D0" w:rsidRPr="002107A6" w:rsidRDefault="3D199D55" w:rsidP="001F1566">
      <w:pPr>
        <w:tabs>
          <w:tab w:val="left" w:pos="360"/>
        </w:tabs>
        <w:spacing w:after="200"/>
        <w:ind w:left="900"/>
      </w:pPr>
      <w:r>
        <w:t>“Parmenion: A Case Study of Aristocratic and Factional Politics at the Macedonian Court,” at the European Studies Conference, Omaha, NE (October 2011)</w:t>
      </w:r>
    </w:p>
    <w:p w14:paraId="5600685D" w14:textId="19093DF1" w:rsidR="009E46D0" w:rsidRPr="002107A6" w:rsidRDefault="3D199D55" w:rsidP="001F1566">
      <w:pPr>
        <w:tabs>
          <w:tab w:val="left" w:pos="360"/>
        </w:tabs>
        <w:spacing w:after="200"/>
        <w:ind w:left="900"/>
      </w:pPr>
      <w:r>
        <w:t>“Not One, but Three Roman Alexanders: The Roman Origins of the Alexander Myth,” at the Heartland Graduate Student Workshop, Columbia, MO (September 2011)</w:t>
      </w:r>
    </w:p>
    <w:p w14:paraId="386CC84F" w14:textId="44CB16C2" w:rsidR="4B05B5F4" w:rsidRDefault="3D199D55" w:rsidP="001F1566">
      <w:pPr>
        <w:tabs>
          <w:tab w:val="left" w:pos="360"/>
        </w:tabs>
        <w:spacing w:after="200"/>
        <w:ind w:left="900"/>
      </w:pPr>
      <w:r>
        <w:t>“Parmenion: an aristocrat in the Macedonian Court during the reigns of Philip II and Alexander III,” at the 107</w:t>
      </w:r>
      <w:r w:rsidRPr="3D199D55">
        <w:rPr>
          <w:vertAlign w:val="superscript"/>
        </w:rPr>
        <w:t>th</w:t>
      </w:r>
      <w:r>
        <w:t xml:space="preserve"> CAMWS Annual Meeting, Grand Rapids, MI (April 2011)</w:t>
      </w:r>
    </w:p>
    <w:p w14:paraId="35F8428C" w14:textId="2D57702A" w:rsidR="007E46A7" w:rsidRPr="00C0227E" w:rsidRDefault="6A89AC07" w:rsidP="6A89AC07">
      <w:pPr>
        <w:tabs>
          <w:tab w:val="left" w:pos="360"/>
        </w:tabs>
        <w:spacing w:after="200"/>
        <w:outlineLvl w:val="0"/>
        <w:rPr>
          <w:b/>
          <w:bCs/>
        </w:rPr>
      </w:pPr>
      <w:r w:rsidRPr="6A89AC07">
        <w:rPr>
          <w:b/>
          <w:bCs/>
        </w:rPr>
        <w:lastRenderedPageBreak/>
        <w:t>Colloquia Talks</w:t>
      </w:r>
    </w:p>
    <w:p w14:paraId="0A36093A" w14:textId="735976CF" w:rsidR="009340BC" w:rsidRPr="00C0227E" w:rsidRDefault="3D199D55" w:rsidP="001F1566">
      <w:pPr>
        <w:tabs>
          <w:tab w:val="left" w:pos="360"/>
        </w:tabs>
        <w:spacing w:after="200"/>
        <w:ind w:left="900"/>
      </w:pPr>
      <w:r>
        <w:t>“Pirates of the Aegean: A Mediterranean perspective on the Delian League and piracy in the 5</w:t>
      </w:r>
      <w:r w:rsidRPr="3D199D55">
        <w:rPr>
          <w:vertAlign w:val="superscript"/>
        </w:rPr>
        <w:t>th</w:t>
      </w:r>
      <w:r>
        <w:t xml:space="preserve"> century BCE,” in the 2016–2017 University of Missouri HGSA Colloquium Series (April 2017)</w:t>
      </w:r>
    </w:p>
    <w:p w14:paraId="6054E94E" w14:textId="37C5CA97" w:rsidR="00BC4BC0" w:rsidRPr="005C2AF3" w:rsidRDefault="476043B5" w:rsidP="0097591B">
      <w:pPr>
        <w:pBdr>
          <w:bottom w:val="single" w:sz="4" w:space="1" w:color="auto"/>
        </w:pBdr>
        <w:spacing w:after="200"/>
        <w:outlineLvl w:val="0"/>
        <w:rPr>
          <w:smallCaps/>
          <w:sz w:val="32"/>
          <w:szCs w:val="32"/>
        </w:rPr>
      </w:pPr>
      <w:r w:rsidRPr="005C2AF3">
        <w:rPr>
          <w:smallCaps/>
          <w:kern w:val="28"/>
          <w:sz w:val="32"/>
          <w:szCs w:val="32"/>
        </w:rPr>
        <w:t>Teaching</w:t>
      </w:r>
    </w:p>
    <w:p w14:paraId="34873E03" w14:textId="5475BD54" w:rsidR="00BC4BC0" w:rsidRPr="0097591B" w:rsidRDefault="3CD048D4" w:rsidP="005F65D6">
      <w:pPr>
        <w:tabs>
          <w:tab w:val="left" w:pos="0"/>
        </w:tabs>
        <w:spacing w:after="80"/>
        <w:outlineLvl w:val="0"/>
        <w:rPr>
          <w:smallCaps/>
          <w:kern w:val="24"/>
        </w:rPr>
      </w:pPr>
      <w:r w:rsidRPr="0097591B">
        <w:rPr>
          <w:smallCaps/>
          <w:kern w:val="24"/>
        </w:rPr>
        <w:t xml:space="preserve">University of Missouri </w:t>
      </w:r>
    </w:p>
    <w:p w14:paraId="76DE7C2F" w14:textId="6E74EFDC" w:rsidR="00724628" w:rsidRPr="00C52DE1" w:rsidRDefault="3CD048D4" w:rsidP="3CD048D4">
      <w:pPr>
        <w:tabs>
          <w:tab w:val="left" w:pos="90"/>
          <w:tab w:val="left" w:pos="540"/>
        </w:tabs>
        <w:outlineLvl w:val="0"/>
        <w:rPr>
          <w:b/>
          <w:bCs/>
        </w:rPr>
      </w:pPr>
      <w:r w:rsidRPr="3CD048D4">
        <w:rPr>
          <w:b/>
          <w:bCs/>
        </w:rPr>
        <w:t>Courses</w:t>
      </w:r>
    </w:p>
    <w:p w14:paraId="08D621E0" w14:textId="7F4631B7" w:rsidR="008206BE" w:rsidRDefault="3CD048D4" w:rsidP="008206BE">
      <w:pPr>
        <w:tabs>
          <w:tab w:val="left" w:pos="360"/>
        </w:tabs>
        <w:spacing w:after="200"/>
        <w:ind w:left="900"/>
      </w:pPr>
      <w:r>
        <w:t xml:space="preserve">History 3510: </w:t>
      </w:r>
      <w:r w:rsidRPr="3CD048D4">
        <w:rPr>
          <w:i/>
          <w:iCs/>
        </w:rPr>
        <w:t xml:space="preserve">The Ancient Greek World </w:t>
      </w:r>
      <w:r>
        <w:t>(undergraduate; Summer 2014, Fall 2017, Fall 2018)</w:t>
      </w:r>
    </w:p>
    <w:p w14:paraId="7F0974FB" w14:textId="0DC15B58" w:rsidR="000A066C" w:rsidRPr="000A066C" w:rsidRDefault="000A066C" w:rsidP="008206BE">
      <w:pPr>
        <w:tabs>
          <w:tab w:val="left" w:pos="360"/>
        </w:tabs>
        <w:spacing w:after="200"/>
        <w:ind w:left="900"/>
      </w:pPr>
      <w:r>
        <w:t xml:space="preserve">History 3530: </w:t>
      </w:r>
      <w:r>
        <w:rPr>
          <w:i/>
        </w:rPr>
        <w:t>The Hellenistic World: From the Mediterranean to the Margins</w:t>
      </w:r>
      <w:r>
        <w:t xml:space="preserve"> (</w:t>
      </w:r>
      <w:r w:rsidR="0048248B">
        <w:t xml:space="preserve">undergraduate; </w:t>
      </w:r>
      <w:r>
        <w:t>Spring 2019)</w:t>
      </w:r>
    </w:p>
    <w:p w14:paraId="1F0D76B3" w14:textId="1008BAF7" w:rsidR="00676DA4" w:rsidRDefault="3CD048D4" w:rsidP="001F1566">
      <w:pPr>
        <w:tabs>
          <w:tab w:val="left" w:pos="360"/>
        </w:tabs>
        <w:spacing w:after="200"/>
        <w:ind w:left="900"/>
      </w:pPr>
      <w:r>
        <w:t xml:space="preserve">History 4515/7515: </w:t>
      </w:r>
      <w:r w:rsidRPr="3CD048D4">
        <w:rPr>
          <w:i/>
          <w:iCs/>
        </w:rPr>
        <w:t xml:space="preserve">Power and Oratory in Ancient Greece </w:t>
      </w:r>
      <w:r>
        <w:t>(undergraduate/graduate; Spring 2018)</w:t>
      </w:r>
    </w:p>
    <w:p w14:paraId="00A94E81" w14:textId="1D9CFF98" w:rsidR="00F433B5" w:rsidRPr="00F433B5" w:rsidRDefault="02C7E38B" w:rsidP="001F1566">
      <w:pPr>
        <w:tabs>
          <w:tab w:val="left" w:pos="360"/>
        </w:tabs>
        <w:spacing w:after="200"/>
        <w:ind w:left="900"/>
      </w:pPr>
      <w:r>
        <w:t xml:space="preserve">History 4004: </w:t>
      </w:r>
      <w:r w:rsidRPr="02C7E38B">
        <w:rPr>
          <w:i/>
          <w:iCs/>
        </w:rPr>
        <w:t>Topics in History: Alexander the Great</w:t>
      </w:r>
      <w:r>
        <w:t xml:space="preserve"> (online, undergraduate; Summer 2019, Fall 2019, Spring 2020)</w:t>
      </w:r>
    </w:p>
    <w:p w14:paraId="7120685F" w14:textId="5BBAEE04" w:rsidR="002B75C6" w:rsidRPr="002B75C6" w:rsidRDefault="3CD048D4" w:rsidP="001F1566">
      <w:pPr>
        <w:tabs>
          <w:tab w:val="left" w:pos="360"/>
        </w:tabs>
        <w:spacing w:after="200"/>
        <w:ind w:left="900"/>
      </w:pPr>
      <w:r>
        <w:t xml:space="preserve">Classical Humanities 3750: </w:t>
      </w:r>
      <w:r w:rsidRPr="3CD048D4">
        <w:rPr>
          <w:i/>
          <w:iCs/>
        </w:rPr>
        <w:t>Classics in a Cross-Cultural Context</w:t>
      </w:r>
      <w:r>
        <w:t xml:space="preserve"> (undergraduate; Spring 2018)</w:t>
      </w:r>
    </w:p>
    <w:p w14:paraId="1D21E25E" w14:textId="61912FFA" w:rsidR="6ABD99C8" w:rsidRDefault="41A25677" w:rsidP="6ABD99C8">
      <w:pPr>
        <w:spacing w:after="200"/>
        <w:ind w:left="900"/>
      </w:pPr>
      <w:r>
        <w:t xml:space="preserve">Classical Humanities 3750: </w:t>
      </w:r>
      <w:r w:rsidRPr="41A25677">
        <w:rPr>
          <w:i/>
          <w:iCs/>
        </w:rPr>
        <w:t xml:space="preserve">Classics in a Cross-Cultural Context </w:t>
      </w:r>
      <w:r>
        <w:t>(honors-by-contract; Spring 2018)</w:t>
      </w:r>
    </w:p>
    <w:p w14:paraId="06DCCC1A" w14:textId="12185D1C" w:rsidR="41A25677" w:rsidRPr="00B52457" w:rsidRDefault="00B52457" w:rsidP="41A25677">
      <w:pPr>
        <w:spacing w:after="200"/>
        <w:ind w:left="900"/>
      </w:pPr>
      <w:r>
        <w:t xml:space="preserve">General </w:t>
      </w:r>
      <w:r w:rsidR="41A25677">
        <w:t xml:space="preserve">Honors 2230H: </w:t>
      </w:r>
      <w:r>
        <w:rPr>
          <w:i/>
          <w:iCs/>
        </w:rPr>
        <w:t xml:space="preserve">Social Sciences Colloquium </w:t>
      </w:r>
      <w:r>
        <w:t xml:space="preserve">(Topics: Fall 2019 </w:t>
      </w:r>
      <w:r w:rsidR="41A25677" w:rsidRPr="41A25677">
        <w:rPr>
          <w:i/>
          <w:iCs/>
        </w:rPr>
        <w:t>Monsters, Humans, and Monstrous Human</w:t>
      </w:r>
      <w:r>
        <w:rPr>
          <w:i/>
          <w:iCs/>
        </w:rPr>
        <w:t>s</w:t>
      </w:r>
      <w:r>
        <w:t>;</w:t>
      </w:r>
      <w:r>
        <w:rPr>
          <w:i/>
          <w:iCs/>
        </w:rPr>
        <w:t xml:space="preserve"> </w:t>
      </w:r>
      <w:r>
        <w:t xml:space="preserve">Fall 2019 </w:t>
      </w:r>
      <w:r w:rsidRPr="41A25677">
        <w:rPr>
          <w:i/>
          <w:iCs/>
        </w:rPr>
        <w:t>The Afterlives of Alexander the Great</w:t>
      </w:r>
      <w:r>
        <w:t xml:space="preserve">; Spring 2020 </w:t>
      </w:r>
      <w:r>
        <w:rPr>
          <w:i/>
          <w:iCs/>
        </w:rPr>
        <w:t>War in Classical Greece and Rome</w:t>
      </w:r>
      <w:r>
        <w:t>)</w:t>
      </w:r>
    </w:p>
    <w:p w14:paraId="0E604BA6" w14:textId="12D2AB53" w:rsidR="00B52457" w:rsidRPr="00B52457" w:rsidRDefault="00B52457" w:rsidP="00B52457">
      <w:pPr>
        <w:spacing w:after="200"/>
        <w:ind w:left="900"/>
      </w:pPr>
      <w:r>
        <w:t xml:space="preserve">General </w:t>
      </w:r>
      <w:r w:rsidR="41A25677" w:rsidRPr="41A25677">
        <w:t>Honors 2</w:t>
      </w:r>
      <w:r>
        <w:t>010</w:t>
      </w:r>
      <w:r w:rsidR="41A25677" w:rsidRPr="41A25677">
        <w:t xml:space="preserve">H: </w:t>
      </w:r>
      <w:r w:rsidRPr="00B52457">
        <w:rPr>
          <w:i/>
          <w:iCs/>
        </w:rPr>
        <w:t>Honors Tutorial</w:t>
      </w:r>
      <w:r>
        <w:rPr>
          <w:i/>
          <w:iCs/>
        </w:rPr>
        <w:t xml:space="preserve"> </w:t>
      </w:r>
      <w:r>
        <w:t xml:space="preserve">(Topics: Spring 2020 </w:t>
      </w:r>
      <w:r>
        <w:rPr>
          <w:i/>
          <w:iCs/>
        </w:rPr>
        <w:t>Dining with the Ancients: Food and Drink in Ancient Greece</w:t>
      </w:r>
      <w:r>
        <w:t>)</w:t>
      </w:r>
    </w:p>
    <w:p w14:paraId="05E948C9" w14:textId="553E30CC" w:rsidR="00724628" w:rsidRPr="00C52DE1" w:rsidRDefault="3CD048D4" w:rsidP="3CD048D4">
      <w:pPr>
        <w:tabs>
          <w:tab w:val="left" w:pos="360"/>
          <w:tab w:val="left" w:pos="900"/>
        </w:tabs>
        <w:outlineLvl w:val="0"/>
        <w:rPr>
          <w:b/>
          <w:bCs/>
        </w:rPr>
      </w:pPr>
      <w:r w:rsidRPr="3CD048D4">
        <w:rPr>
          <w:b/>
          <w:bCs/>
        </w:rPr>
        <w:t>Additional Teaching</w:t>
      </w:r>
      <w:r w:rsidR="0091366E">
        <w:rPr>
          <w:b/>
          <w:bCs/>
        </w:rPr>
        <w:t xml:space="preserve"> and Guest Lectures</w:t>
      </w:r>
    </w:p>
    <w:p w14:paraId="34ED737B" w14:textId="77777777" w:rsidR="00724628" w:rsidRPr="002107A6" w:rsidRDefault="3CD048D4" w:rsidP="001F1566">
      <w:pPr>
        <w:tabs>
          <w:tab w:val="left" w:pos="360"/>
        </w:tabs>
        <w:ind w:left="900"/>
      </w:pPr>
      <w:r>
        <w:t xml:space="preserve">History 8510: </w:t>
      </w:r>
      <w:r w:rsidRPr="3CD048D4">
        <w:rPr>
          <w:i/>
          <w:iCs/>
        </w:rPr>
        <w:t xml:space="preserve">graduate seminar on Alexander the Great </w:t>
      </w:r>
      <w:r>
        <w:t>(graduate seminar)</w:t>
      </w:r>
    </w:p>
    <w:p w14:paraId="14740A48" w14:textId="77777777" w:rsidR="00724628" w:rsidRDefault="3CD048D4" w:rsidP="001F1566">
      <w:pPr>
        <w:tabs>
          <w:tab w:val="left" w:pos="360"/>
        </w:tabs>
        <w:ind w:left="900"/>
      </w:pPr>
      <w:r>
        <w:t>Seminar led: “The Roman Alexander?”</w:t>
      </w:r>
    </w:p>
    <w:p w14:paraId="42BB2268" w14:textId="77777777" w:rsidR="00724628" w:rsidRPr="002107A6" w:rsidRDefault="00724628" w:rsidP="001F1566">
      <w:pPr>
        <w:tabs>
          <w:tab w:val="left" w:pos="360"/>
        </w:tabs>
        <w:ind w:left="900"/>
      </w:pPr>
    </w:p>
    <w:p w14:paraId="5B3E6146" w14:textId="77777777" w:rsidR="00724628" w:rsidRPr="002107A6" w:rsidRDefault="3CD048D4" w:rsidP="001F1566">
      <w:pPr>
        <w:tabs>
          <w:tab w:val="left" w:pos="360"/>
        </w:tabs>
        <w:ind w:left="900"/>
      </w:pPr>
      <w:r>
        <w:t xml:space="preserve">History 4971: </w:t>
      </w:r>
      <w:r w:rsidRPr="3CD048D4">
        <w:rPr>
          <w:i/>
          <w:iCs/>
        </w:rPr>
        <w:t xml:space="preserve">capstone seminar on Alexander the Great </w:t>
      </w:r>
      <w:r>
        <w:t>(undergraduate seminar)</w:t>
      </w:r>
    </w:p>
    <w:p w14:paraId="03269CF7" w14:textId="77777777" w:rsidR="00724628" w:rsidRPr="002107A6" w:rsidRDefault="3CD048D4" w:rsidP="001F1566">
      <w:pPr>
        <w:tabs>
          <w:tab w:val="left" w:pos="360"/>
        </w:tabs>
        <w:ind w:left="900"/>
      </w:pPr>
      <w:r>
        <w:t xml:space="preserve">Seminar led: “The Source Tradition for Alexander the Great” </w:t>
      </w:r>
    </w:p>
    <w:p w14:paraId="428BBE93" w14:textId="77777777" w:rsidR="00A40E72" w:rsidRDefault="00A40E72" w:rsidP="001F1566">
      <w:pPr>
        <w:tabs>
          <w:tab w:val="left" w:pos="360"/>
        </w:tabs>
        <w:ind w:left="900"/>
      </w:pPr>
    </w:p>
    <w:p w14:paraId="035A8454" w14:textId="6F6300B9" w:rsidR="00724628" w:rsidRPr="002107A6" w:rsidRDefault="3CD048D4" w:rsidP="001F1566">
      <w:pPr>
        <w:tabs>
          <w:tab w:val="left" w:pos="360"/>
        </w:tabs>
        <w:ind w:left="900"/>
      </w:pPr>
      <w:r>
        <w:t xml:space="preserve">History 4500, </w:t>
      </w:r>
      <w:r w:rsidRPr="3CD048D4">
        <w:rPr>
          <w:i/>
          <w:iCs/>
        </w:rPr>
        <w:t>Philip II, Alexander the Great, and Macedonian Imperialism</w:t>
      </w:r>
      <w:r>
        <w:t xml:space="preserve"> (upper level)</w:t>
      </w:r>
    </w:p>
    <w:p w14:paraId="42934DBA" w14:textId="7F570DA0" w:rsidR="00724628" w:rsidRDefault="3CD048D4" w:rsidP="001F1566">
      <w:pPr>
        <w:tabs>
          <w:tab w:val="left" w:pos="360"/>
        </w:tabs>
        <w:ind w:left="900"/>
      </w:pPr>
      <w:r>
        <w:t>Lectures on: “The Reign of Philip, 359</w:t>
      </w:r>
      <w:r w:rsidR="00AA1516">
        <w:t>–</w:t>
      </w:r>
      <w:r>
        <w:t xml:space="preserve">346,” “Alexander and Divinity,” “The Roman Sources for Alexander the Great” </w:t>
      </w:r>
    </w:p>
    <w:p w14:paraId="2819AFCA" w14:textId="77777777" w:rsidR="00724628" w:rsidRPr="002107A6" w:rsidRDefault="00724628" w:rsidP="001F1566">
      <w:pPr>
        <w:tabs>
          <w:tab w:val="left" w:pos="360"/>
        </w:tabs>
        <w:ind w:left="900"/>
      </w:pPr>
    </w:p>
    <w:p w14:paraId="1FB6F280" w14:textId="61A67893" w:rsidR="00724628" w:rsidRDefault="3CD048D4" w:rsidP="001F1566">
      <w:pPr>
        <w:tabs>
          <w:tab w:val="left" w:pos="360"/>
        </w:tabs>
        <w:ind w:left="900"/>
      </w:pPr>
      <w:r>
        <w:t xml:space="preserve">History 1520: </w:t>
      </w:r>
      <w:r w:rsidRPr="3CD048D4">
        <w:rPr>
          <w:i/>
          <w:iCs/>
        </w:rPr>
        <w:t>The Ancient World</w:t>
      </w:r>
      <w:r>
        <w:t xml:space="preserve"> (</w:t>
      </w:r>
      <w:r w:rsidR="005F65D6">
        <w:t xml:space="preserve">50-student </w:t>
      </w:r>
      <w:r w:rsidR="00C47FA8">
        <w:t>survey</w:t>
      </w:r>
      <w:r>
        <w:t>):</w:t>
      </w:r>
    </w:p>
    <w:p w14:paraId="4881CF7F" w14:textId="77777777" w:rsidR="00724628" w:rsidRDefault="3CD048D4" w:rsidP="001F1566">
      <w:pPr>
        <w:tabs>
          <w:tab w:val="left" w:pos="360"/>
        </w:tabs>
        <w:ind w:left="900"/>
      </w:pPr>
      <w:r>
        <w:lastRenderedPageBreak/>
        <w:t>Lecture on: “The Good Emperors and Roman Society in the second century,” “The ‘Triumph’ of Cicero”</w:t>
      </w:r>
    </w:p>
    <w:p w14:paraId="5B6D97FD" w14:textId="77777777" w:rsidR="00BB6FDB" w:rsidRDefault="00BB6FDB" w:rsidP="001F1566">
      <w:pPr>
        <w:tabs>
          <w:tab w:val="left" w:pos="360"/>
        </w:tabs>
        <w:ind w:left="900"/>
      </w:pPr>
    </w:p>
    <w:p w14:paraId="205B94B6" w14:textId="43F10126" w:rsidR="00BB6FDB" w:rsidRPr="002107A6" w:rsidRDefault="3CD048D4" w:rsidP="001F1566">
      <w:pPr>
        <w:tabs>
          <w:tab w:val="left" w:pos="360"/>
        </w:tabs>
        <w:ind w:left="900"/>
      </w:pPr>
      <w:r>
        <w:t xml:space="preserve">History 1500: </w:t>
      </w:r>
      <w:r w:rsidRPr="3CD048D4">
        <w:rPr>
          <w:i/>
          <w:iCs/>
        </w:rPr>
        <w:t>Foundations of Western Civilization</w:t>
      </w:r>
      <w:r>
        <w:t xml:space="preserve"> (</w:t>
      </w:r>
      <w:r w:rsidR="005F65D6">
        <w:t>120-student survey</w:t>
      </w:r>
      <w:r>
        <w:t>):</w:t>
      </w:r>
    </w:p>
    <w:p w14:paraId="7464D5DE" w14:textId="52DC7C5D" w:rsidR="00BB6FDB" w:rsidRPr="002107A6" w:rsidRDefault="3CD048D4" w:rsidP="001F1566">
      <w:pPr>
        <w:tabs>
          <w:tab w:val="left" w:pos="360"/>
        </w:tabs>
        <w:ind w:left="900"/>
      </w:pPr>
      <w:r>
        <w:t>Lecture on: “Philip II, Alexander III, and the foundation of the Hellenistic World,” “Roman Republic” (2 lectures), “Roman Empire” (2 lectures), “The Renaissance” (2 lectures)</w:t>
      </w:r>
    </w:p>
    <w:p w14:paraId="05F809AE" w14:textId="77777777" w:rsidR="00EB5D85" w:rsidRDefault="00EB5D85" w:rsidP="001F1566">
      <w:pPr>
        <w:tabs>
          <w:tab w:val="left" w:pos="360"/>
        </w:tabs>
        <w:ind w:left="900"/>
      </w:pPr>
    </w:p>
    <w:p w14:paraId="3BFDE54A" w14:textId="0A9AAD09" w:rsidR="00B85893" w:rsidRDefault="3CD048D4" w:rsidP="00247CC8">
      <w:pPr>
        <w:tabs>
          <w:tab w:val="left" w:pos="360"/>
        </w:tabs>
        <w:ind w:left="900"/>
        <w:outlineLvl w:val="0"/>
      </w:pPr>
      <w:r>
        <w:t xml:space="preserve">TA for History 1500 </w:t>
      </w:r>
      <w:r w:rsidRPr="3CD048D4">
        <w:rPr>
          <w:i/>
          <w:iCs/>
        </w:rPr>
        <w:t>Foundations of Western Civilization</w:t>
      </w:r>
      <w:r>
        <w:t xml:space="preserve"> (Fall 2016)</w:t>
      </w:r>
    </w:p>
    <w:p w14:paraId="16521D87" w14:textId="77777777" w:rsidR="00B85893" w:rsidRDefault="00B85893" w:rsidP="001F1566">
      <w:pPr>
        <w:tabs>
          <w:tab w:val="left" w:pos="360"/>
        </w:tabs>
        <w:ind w:left="900"/>
      </w:pPr>
    </w:p>
    <w:p w14:paraId="2CAADB8B" w14:textId="33BC57E4" w:rsidR="00FB6491" w:rsidRPr="002107A6" w:rsidRDefault="3CD048D4" w:rsidP="00247CC8">
      <w:pPr>
        <w:tabs>
          <w:tab w:val="left" w:pos="360"/>
        </w:tabs>
        <w:ind w:left="900"/>
        <w:outlineLvl w:val="0"/>
      </w:pPr>
      <w:r>
        <w:t xml:space="preserve">TA for History 1100 </w:t>
      </w:r>
      <w:r w:rsidRPr="3CD048D4">
        <w:rPr>
          <w:i/>
          <w:iCs/>
        </w:rPr>
        <w:t>US History until 1865</w:t>
      </w:r>
      <w:r>
        <w:t xml:space="preserve"> (Fall 2011, Fall 2013, Fall 2014)</w:t>
      </w:r>
    </w:p>
    <w:p w14:paraId="301B9DE7" w14:textId="77777777" w:rsidR="00BC4BC0" w:rsidRDefault="00BC4BC0" w:rsidP="001F1566">
      <w:pPr>
        <w:tabs>
          <w:tab w:val="left" w:pos="360"/>
        </w:tabs>
        <w:ind w:left="180"/>
        <w:rPr>
          <w:b/>
        </w:rPr>
      </w:pPr>
    </w:p>
    <w:p w14:paraId="6A71D298" w14:textId="43ED2545" w:rsidR="00495803" w:rsidRPr="0097591B" w:rsidRDefault="3CD048D4" w:rsidP="005F65D6">
      <w:pPr>
        <w:tabs>
          <w:tab w:val="left" w:pos="360"/>
        </w:tabs>
        <w:spacing w:after="80"/>
        <w:outlineLvl w:val="0"/>
        <w:rPr>
          <w:smallCaps/>
          <w:kern w:val="24"/>
        </w:rPr>
      </w:pPr>
      <w:r w:rsidRPr="0097591B">
        <w:rPr>
          <w:smallCaps/>
          <w:kern w:val="24"/>
        </w:rPr>
        <w:t xml:space="preserve">William Woods University </w:t>
      </w:r>
    </w:p>
    <w:p w14:paraId="0BB89FD4" w14:textId="25C56027" w:rsidR="00495803" w:rsidRDefault="3CD048D4" w:rsidP="00495803">
      <w:pPr>
        <w:tabs>
          <w:tab w:val="left" w:pos="360"/>
        </w:tabs>
        <w:outlineLvl w:val="0"/>
      </w:pPr>
      <w:r w:rsidRPr="3CD048D4">
        <w:rPr>
          <w:b/>
          <w:bCs/>
        </w:rPr>
        <w:t xml:space="preserve">Courses </w:t>
      </w:r>
    </w:p>
    <w:p w14:paraId="13BD242C" w14:textId="572C21AE" w:rsidR="00495803" w:rsidRDefault="56640FF5" w:rsidP="00495803">
      <w:pPr>
        <w:tabs>
          <w:tab w:val="left" w:pos="360"/>
        </w:tabs>
        <w:spacing w:after="200"/>
        <w:ind w:left="900"/>
        <w:outlineLvl w:val="0"/>
      </w:pPr>
      <w:r>
        <w:t xml:space="preserve">HIS 101: </w:t>
      </w:r>
      <w:r w:rsidRPr="56640FF5">
        <w:rPr>
          <w:i/>
          <w:iCs/>
        </w:rPr>
        <w:t>Dawn &amp; Rebirth: A History of the World to 1500</w:t>
      </w:r>
      <w:r>
        <w:t xml:space="preserve"> (Freshman Advantage: Summer 2018; Regular Term: Fall 2019, Spring 2020)</w:t>
      </w:r>
    </w:p>
    <w:p w14:paraId="394DDD9C" w14:textId="3A53E8C9" w:rsidR="51FC495D" w:rsidRDefault="56640FF5" w:rsidP="51FC495D">
      <w:pPr>
        <w:spacing w:after="200"/>
        <w:ind w:left="900"/>
        <w:outlineLvl w:val="0"/>
      </w:pPr>
      <w:r>
        <w:t xml:space="preserve">HIS 102: </w:t>
      </w:r>
      <w:r w:rsidRPr="56640FF5">
        <w:rPr>
          <w:i/>
          <w:iCs/>
        </w:rPr>
        <w:t>Industry, Ideology, and War: A History of the World since 1500</w:t>
      </w:r>
      <w:r>
        <w:t xml:space="preserve"> (Spring 2019, Spring 2020)</w:t>
      </w:r>
    </w:p>
    <w:p w14:paraId="11A848BA" w14:textId="41F1A6D3" w:rsidR="0085221E" w:rsidRPr="00495803" w:rsidRDefault="3D199D55" w:rsidP="00495803">
      <w:pPr>
        <w:tabs>
          <w:tab w:val="left" w:pos="360"/>
        </w:tabs>
        <w:spacing w:after="200"/>
        <w:ind w:left="900"/>
        <w:outlineLvl w:val="0"/>
      </w:pPr>
      <w:r>
        <w:t xml:space="preserve">HIS 104: </w:t>
      </w:r>
      <w:r w:rsidRPr="3D199D55">
        <w:rPr>
          <w:i/>
          <w:iCs/>
        </w:rPr>
        <w:t>Modern US History</w:t>
      </w:r>
      <w:r>
        <w:t xml:space="preserve"> (Fall 2018; Fall 2019)</w:t>
      </w:r>
    </w:p>
    <w:p w14:paraId="5ECBD99F" w14:textId="16D5542F" w:rsidR="3D199D55" w:rsidRDefault="56640FF5" w:rsidP="3D199D55">
      <w:pPr>
        <w:spacing w:after="200"/>
        <w:ind w:left="900"/>
        <w:outlineLvl w:val="0"/>
      </w:pPr>
      <w:r>
        <w:t xml:space="preserve">HIS 223: </w:t>
      </w:r>
      <w:r w:rsidRPr="56640FF5">
        <w:rPr>
          <w:i/>
          <w:iCs/>
        </w:rPr>
        <w:t>Royal America</w:t>
      </w:r>
      <w:r>
        <w:t xml:space="preserve"> (Honors, Fall 2019)</w:t>
      </w:r>
    </w:p>
    <w:p w14:paraId="6E481269" w14:textId="78647E1C" w:rsidR="56640FF5" w:rsidRDefault="56640FF5" w:rsidP="56640FF5">
      <w:pPr>
        <w:spacing w:after="200"/>
        <w:ind w:left="900"/>
        <w:outlineLvl w:val="0"/>
      </w:pPr>
      <w:r>
        <w:t xml:space="preserve">HIS 300: </w:t>
      </w:r>
      <w:r w:rsidRPr="56640FF5">
        <w:rPr>
          <w:i/>
          <w:iCs/>
        </w:rPr>
        <w:t>Vietnam: The Original Forever War</w:t>
      </w:r>
      <w:r w:rsidRPr="56640FF5">
        <w:t xml:space="preserve"> (Spring 2020)</w:t>
      </w:r>
    </w:p>
    <w:p w14:paraId="5F72F659" w14:textId="7BBB952A" w:rsidR="00A40E72" w:rsidRPr="0097591B" w:rsidRDefault="3CD048D4" w:rsidP="005F65D6">
      <w:pPr>
        <w:tabs>
          <w:tab w:val="left" w:pos="360"/>
        </w:tabs>
        <w:spacing w:after="80"/>
        <w:outlineLvl w:val="0"/>
        <w:rPr>
          <w:smallCaps/>
          <w:kern w:val="24"/>
        </w:rPr>
      </w:pPr>
      <w:r w:rsidRPr="0097591B">
        <w:rPr>
          <w:smallCaps/>
          <w:kern w:val="24"/>
        </w:rPr>
        <w:t xml:space="preserve">Westminster College </w:t>
      </w:r>
    </w:p>
    <w:p w14:paraId="58619C55" w14:textId="200691A2" w:rsidR="00A40E72" w:rsidRPr="00C52DE1" w:rsidRDefault="5322FADC" w:rsidP="5322FADC">
      <w:pPr>
        <w:tabs>
          <w:tab w:val="left" w:pos="360"/>
        </w:tabs>
        <w:outlineLvl w:val="0"/>
        <w:rPr>
          <w:b/>
          <w:bCs/>
        </w:rPr>
      </w:pPr>
      <w:r w:rsidRPr="5322FADC">
        <w:rPr>
          <w:b/>
          <w:bCs/>
        </w:rPr>
        <w:t xml:space="preserve">Courses </w:t>
      </w:r>
    </w:p>
    <w:p w14:paraId="202B7D13" w14:textId="1933D6C2" w:rsidR="00A40E72" w:rsidRPr="00A40E72" w:rsidRDefault="5322FADC" w:rsidP="00247CC8">
      <w:pPr>
        <w:tabs>
          <w:tab w:val="left" w:pos="360"/>
        </w:tabs>
        <w:ind w:left="900"/>
        <w:outlineLvl w:val="0"/>
      </w:pPr>
      <w:r>
        <w:t xml:space="preserve">CLA 227: </w:t>
      </w:r>
      <w:r w:rsidRPr="5322FADC">
        <w:rPr>
          <w:i/>
          <w:iCs/>
        </w:rPr>
        <w:t>Greek Civilization: From the Trojan War to the Roman Empire</w:t>
      </w:r>
      <w:r>
        <w:t xml:space="preserve"> (Spring 2014)</w:t>
      </w:r>
    </w:p>
    <w:p w14:paraId="3F69F89A" w14:textId="77777777" w:rsidR="00A40E72" w:rsidRPr="002107A6" w:rsidRDefault="00A40E72" w:rsidP="00760314">
      <w:pPr>
        <w:ind w:left="900"/>
        <w:rPr>
          <w:b/>
        </w:rPr>
      </w:pPr>
    </w:p>
    <w:p w14:paraId="1CCB9DE7" w14:textId="1A3C1CDD" w:rsidR="0062664F" w:rsidRPr="005C2AF3" w:rsidRDefault="00C0227E" w:rsidP="0097591B">
      <w:pPr>
        <w:pBdr>
          <w:bottom w:val="single" w:sz="4" w:space="1" w:color="auto"/>
        </w:pBdr>
        <w:outlineLvl w:val="0"/>
        <w:rPr>
          <w:smallCaps/>
          <w:sz w:val="32"/>
          <w:szCs w:val="32"/>
        </w:rPr>
      </w:pPr>
      <w:r w:rsidRPr="005C2AF3">
        <w:rPr>
          <w:smallCaps/>
          <w:kern w:val="28"/>
          <w:sz w:val="32"/>
          <w:szCs w:val="32"/>
        </w:rPr>
        <w:t>Awards, Honors and Grants</w:t>
      </w:r>
    </w:p>
    <w:p w14:paraId="313D451B" w14:textId="1F64B2E7" w:rsidR="00E52051" w:rsidRDefault="00AE4107" w:rsidP="001F1566">
      <w:pPr>
        <w:rPr>
          <w:b/>
          <w:bCs/>
        </w:rPr>
      </w:pPr>
      <w:r>
        <w:rPr>
          <w:b/>
          <w:bCs/>
        </w:rPr>
        <w:t xml:space="preserve"> </w:t>
      </w:r>
    </w:p>
    <w:p w14:paraId="54189E84" w14:textId="06CE0F56" w:rsidR="006A5508" w:rsidRPr="005F65D6" w:rsidRDefault="5322FADC" w:rsidP="005F65D6">
      <w:pPr>
        <w:spacing w:after="80"/>
        <w:outlineLvl w:val="0"/>
        <w:rPr>
          <w:smallCaps/>
          <w:kern w:val="24"/>
        </w:rPr>
      </w:pPr>
      <w:r w:rsidRPr="0047008B">
        <w:rPr>
          <w:smallCaps/>
          <w:kern w:val="24"/>
        </w:rPr>
        <w:t>University of Missouri</w:t>
      </w:r>
    </w:p>
    <w:p w14:paraId="169C84FC" w14:textId="4140F811" w:rsidR="781B735C" w:rsidRDefault="781B735C" w:rsidP="001F1566">
      <w:pPr>
        <w:ind w:left="900"/>
      </w:pPr>
      <w:r>
        <w:t xml:space="preserve">2017 </w:t>
      </w:r>
      <w:r w:rsidR="00486136">
        <w:tab/>
      </w:r>
      <w:r w:rsidR="00486136">
        <w:tab/>
      </w:r>
      <w:r>
        <w:t>Graduate Professional Council Travel Award, $400 (declined)</w:t>
      </w:r>
    </w:p>
    <w:p w14:paraId="04C2A086" w14:textId="5C76B025" w:rsidR="29210798" w:rsidRDefault="73E93D47" w:rsidP="001F1566">
      <w:pPr>
        <w:ind w:left="900"/>
      </w:pPr>
      <w:r>
        <w:t xml:space="preserve">2017 </w:t>
      </w:r>
      <w:r w:rsidR="00486136">
        <w:tab/>
      </w:r>
      <w:r w:rsidR="00486136">
        <w:tab/>
      </w:r>
      <w:proofErr w:type="spellStart"/>
      <w:r>
        <w:t>Bies</w:t>
      </w:r>
      <w:proofErr w:type="spellEnd"/>
      <w:r>
        <w:t xml:space="preserve"> International Travel Award, $839</w:t>
      </w:r>
    </w:p>
    <w:p w14:paraId="00AA8B98" w14:textId="505068C3" w:rsidR="007F3A71" w:rsidRDefault="781B735C" w:rsidP="001F1566">
      <w:pPr>
        <w:ind w:left="900"/>
        <w:rPr>
          <w:bCs/>
        </w:rPr>
      </w:pPr>
      <w:r>
        <w:t xml:space="preserve">2017 </w:t>
      </w:r>
      <w:r w:rsidR="00486136">
        <w:tab/>
      </w:r>
      <w:r w:rsidR="00486136">
        <w:tab/>
      </w:r>
      <w:r>
        <w:t>Thomas A. Brady Travel Award, $900</w:t>
      </w:r>
    </w:p>
    <w:p w14:paraId="1BB7638D" w14:textId="37CFDB34" w:rsidR="00E02CED" w:rsidRDefault="781B735C" w:rsidP="001F1566">
      <w:pPr>
        <w:ind w:left="900"/>
        <w:rPr>
          <w:bCs/>
        </w:rPr>
      </w:pPr>
      <w:r>
        <w:t xml:space="preserve">2016 </w:t>
      </w:r>
      <w:r w:rsidR="00486136">
        <w:tab/>
      </w:r>
      <w:r w:rsidR="00486136">
        <w:tab/>
      </w:r>
      <w:r>
        <w:t>Professional Presentation Travel Award, $400</w:t>
      </w:r>
    </w:p>
    <w:p w14:paraId="6557C4A2" w14:textId="2E389ABA" w:rsidR="00C809DC" w:rsidRDefault="781B735C" w:rsidP="001F1566">
      <w:pPr>
        <w:ind w:left="900"/>
        <w:rPr>
          <w:bCs/>
        </w:rPr>
      </w:pPr>
      <w:r>
        <w:t xml:space="preserve">2016 </w:t>
      </w:r>
      <w:r w:rsidR="00486136">
        <w:tab/>
      </w:r>
      <w:r w:rsidR="00486136">
        <w:tab/>
      </w:r>
      <w:r>
        <w:t>Ancient Studies Travel Grant, $500</w:t>
      </w:r>
    </w:p>
    <w:p w14:paraId="3CECFB4C" w14:textId="3C1935FA" w:rsidR="005B4C4B" w:rsidRDefault="781B735C" w:rsidP="001F1566">
      <w:pPr>
        <w:ind w:left="900"/>
        <w:rPr>
          <w:bCs/>
        </w:rPr>
      </w:pPr>
      <w:r>
        <w:t xml:space="preserve">2016 </w:t>
      </w:r>
      <w:r w:rsidR="00486136">
        <w:tab/>
      </w:r>
      <w:r w:rsidR="00486136">
        <w:tab/>
      </w:r>
      <w:r>
        <w:t>Graduate Professional Council Travel Award, $300</w:t>
      </w:r>
    </w:p>
    <w:p w14:paraId="0C2F471D" w14:textId="4C94A26B" w:rsidR="00AE4107" w:rsidRPr="00AE4107" w:rsidRDefault="73E93D47" w:rsidP="001F1566">
      <w:pPr>
        <w:ind w:left="900"/>
        <w:rPr>
          <w:bCs/>
        </w:rPr>
      </w:pPr>
      <w:r>
        <w:t xml:space="preserve">2016 </w:t>
      </w:r>
      <w:r w:rsidR="00486136">
        <w:tab/>
      </w:r>
      <w:r w:rsidR="00486136">
        <w:tab/>
      </w:r>
      <w:proofErr w:type="spellStart"/>
      <w:r>
        <w:t>Wilcher</w:t>
      </w:r>
      <w:proofErr w:type="spellEnd"/>
      <w:r>
        <w:t xml:space="preserve"> Travel Endowment, $500</w:t>
      </w:r>
    </w:p>
    <w:p w14:paraId="64AADAF3" w14:textId="783DC7F9" w:rsidR="00B565B0" w:rsidRPr="002107A6" w:rsidRDefault="781B735C" w:rsidP="001F1566">
      <w:pPr>
        <w:ind w:left="900"/>
      </w:pPr>
      <w:r>
        <w:t>2015</w:t>
      </w:r>
      <w:r w:rsidR="00454C97">
        <w:t>–</w:t>
      </w:r>
      <w:r>
        <w:t xml:space="preserve">2016 </w:t>
      </w:r>
      <w:r w:rsidR="00486136">
        <w:tab/>
      </w:r>
      <w:r w:rsidR="00C0227E">
        <w:tab/>
      </w:r>
      <w:r>
        <w:t>History Department Dissertation</w:t>
      </w:r>
      <w:r w:rsidR="00D22285">
        <w:t xml:space="preserve"> Writing</w:t>
      </w:r>
      <w:r>
        <w:t xml:space="preserve"> Fellowship</w:t>
      </w:r>
    </w:p>
    <w:p w14:paraId="4A757092" w14:textId="44D23BDB" w:rsidR="00C872D2" w:rsidRPr="002107A6" w:rsidRDefault="781B735C" w:rsidP="001F1566">
      <w:pPr>
        <w:ind w:left="900"/>
      </w:pPr>
      <w:r>
        <w:t>2011</w:t>
      </w:r>
      <w:r w:rsidR="00454C97">
        <w:t>–</w:t>
      </w:r>
      <w:r>
        <w:t xml:space="preserve">2012 </w:t>
      </w:r>
      <w:r w:rsidR="00486136">
        <w:tab/>
      </w:r>
      <w:r w:rsidR="00C0227E">
        <w:tab/>
      </w:r>
      <w:r w:rsidR="00486136">
        <w:t>A</w:t>
      </w:r>
      <w:r>
        <w:t>ncient Studies Supplemental Stipend Award, $2,000</w:t>
      </w:r>
    </w:p>
    <w:p w14:paraId="1C3CA69B" w14:textId="2A2F1675" w:rsidR="009C7E16" w:rsidRDefault="781B735C" w:rsidP="005F65D6">
      <w:pPr>
        <w:spacing w:after="200"/>
        <w:ind w:left="907"/>
      </w:pPr>
      <w:r>
        <w:t>2010</w:t>
      </w:r>
      <w:r w:rsidR="00454C97">
        <w:t>–</w:t>
      </w:r>
      <w:r>
        <w:t xml:space="preserve">2011 </w:t>
      </w:r>
      <w:r w:rsidR="00486136">
        <w:tab/>
      </w:r>
      <w:r w:rsidR="00C0227E">
        <w:tab/>
      </w:r>
      <w:r>
        <w:t xml:space="preserve">Thomas A. Brady Scholarship in Ancient History </w:t>
      </w:r>
    </w:p>
    <w:p w14:paraId="4F860A0A" w14:textId="785F9B19" w:rsidR="006A5508" w:rsidRPr="005F65D6" w:rsidRDefault="5322FADC" w:rsidP="005F65D6">
      <w:pPr>
        <w:spacing w:after="80"/>
        <w:outlineLvl w:val="0"/>
        <w:rPr>
          <w:smallCaps/>
          <w:kern w:val="24"/>
        </w:rPr>
      </w:pPr>
      <w:r w:rsidRPr="0047008B">
        <w:rPr>
          <w:smallCaps/>
          <w:kern w:val="24"/>
        </w:rPr>
        <w:t>Brandeis University</w:t>
      </w:r>
    </w:p>
    <w:p w14:paraId="5B7A86CF" w14:textId="7D27BC55" w:rsidR="0062664F" w:rsidRPr="002107A6" w:rsidRDefault="781B735C" w:rsidP="001F1566">
      <w:pPr>
        <w:ind w:left="900"/>
      </w:pPr>
      <w:r>
        <w:lastRenderedPageBreak/>
        <w:t xml:space="preserve">2008 </w:t>
      </w:r>
      <w:r w:rsidR="00486136">
        <w:tab/>
      </w:r>
      <w:r w:rsidR="00486136">
        <w:tab/>
      </w:r>
      <w:r>
        <w:t xml:space="preserve">High Honors in History </w:t>
      </w:r>
    </w:p>
    <w:p w14:paraId="0692A398" w14:textId="7871046F" w:rsidR="0062664F" w:rsidRPr="002107A6" w:rsidRDefault="781B735C" w:rsidP="001F1566">
      <w:pPr>
        <w:ind w:left="900"/>
      </w:pPr>
      <w:r>
        <w:t xml:space="preserve">2008 </w:t>
      </w:r>
      <w:r w:rsidR="00486136">
        <w:tab/>
      </w:r>
      <w:r w:rsidR="00486136">
        <w:tab/>
      </w:r>
      <w:r>
        <w:t xml:space="preserve">High Honors in Classical Studies </w:t>
      </w:r>
    </w:p>
    <w:p w14:paraId="429AC361" w14:textId="22C40465" w:rsidR="0062664F" w:rsidRPr="002107A6" w:rsidRDefault="781B735C" w:rsidP="001F1566">
      <w:pPr>
        <w:ind w:left="900"/>
      </w:pPr>
      <w:r>
        <w:t xml:space="preserve">2008 </w:t>
      </w:r>
      <w:r w:rsidR="00486136">
        <w:tab/>
      </w:r>
      <w:r w:rsidR="00486136">
        <w:tab/>
      </w:r>
      <w:r>
        <w:t xml:space="preserve">Phi Alpha Theta </w:t>
      </w:r>
    </w:p>
    <w:p w14:paraId="46462CD1" w14:textId="7CAEE2BF" w:rsidR="0062664F" w:rsidRPr="002107A6" w:rsidRDefault="73E93D47" w:rsidP="001F1566">
      <w:pPr>
        <w:ind w:left="900"/>
      </w:pPr>
      <w:r>
        <w:t>2007</w:t>
      </w:r>
      <w:r w:rsidR="00454C97">
        <w:t>–200</w:t>
      </w:r>
      <w:r>
        <w:t xml:space="preserve">8 </w:t>
      </w:r>
      <w:r w:rsidR="00486136">
        <w:tab/>
      </w:r>
      <w:r w:rsidR="00C0227E">
        <w:tab/>
      </w:r>
      <w:r>
        <w:t xml:space="preserve">Eunice M. </w:t>
      </w:r>
      <w:proofErr w:type="spellStart"/>
      <w:r>
        <w:t>Lebowitz</w:t>
      </w:r>
      <w:proofErr w:type="spellEnd"/>
      <w:r>
        <w:t xml:space="preserve"> Cohen Fellowship in Classical Studies </w:t>
      </w:r>
    </w:p>
    <w:p w14:paraId="0D3219D5" w14:textId="77777777" w:rsidR="00C872D2" w:rsidRPr="002107A6" w:rsidRDefault="00C872D2" w:rsidP="00C0227E">
      <w:pPr>
        <w:ind w:left="180"/>
      </w:pPr>
    </w:p>
    <w:p w14:paraId="19A48A1B" w14:textId="0FC29FB4" w:rsidR="0062664F" w:rsidRPr="005C2AF3" w:rsidRDefault="476043B5" w:rsidP="0097591B">
      <w:pPr>
        <w:pBdr>
          <w:bottom w:val="single" w:sz="4" w:space="1" w:color="auto"/>
        </w:pBdr>
        <w:outlineLvl w:val="0"/>
        <w:rPr>
          <w:smallCaps/>
          <w:sz w:val="32"/>
          <w:szCs w:val="32"/>
        </w:rPr>
      </w:pPr>
      <w:r w:rsidRPr="005C2AF3">
        <w:rPr>
          <w:smallCaps/>
          <w:kern w:val="28"/>
          <w:sz w:val="32"/>
          <w:szCs w:val="32"/>
        </w:rPr>
        <w:t>Service</w:t>
      </w:r>
    </w:p>
    <w:p w14:paraId="43D72F45" w14:textId="77777777" w:rsidR="00E52051" w:rsidRPr="002107A6" w:rsidRDefault="00E52051" w:rsidP="001F1566">
      <w:pPr>
        <w:rPr>
          <w:b/>
          <w:bCs/>
        </w:rPr>
      </w:pPr>
    </w:p>
    <w:p w14:paraId="4BDF6453" w14:textId="1F50310F" w:rsidR="006A5508" w:rsidRPr="005F65D6" w:rsidRDefault="5322FADC" w:rsidP="005F65D6">
      <w:pPr>
        <w:spacing w:after="80"/>
        <w:outlineLvl w:val="0"/>
        <w:rPr>
          <w:smallCaps/>
          <w:kern w:val="24"/>
        </w:rPr>
      </w:pPr>
      <w:r w:rsidRPr="0047008B">
        <w:rPr>
          <w:smallCaps/>
          <w:kern w:val="24"/>
        </w:rPr>
        <w:t xml:space="preserve">University of Missouri </w:t>
      </w:r>
    </w:p>
    <w:p w14:paraId="183D0FDD" w14:textId="7603B601" w:rsidR="357B545C" w:rsidRDefault="64D4F4D5" w:rsidP="001F1566">
      <w:pPr>
        <w:ind w:left="900"/>
      </w:pPr>
      <w:r>
        <w:t>2017</w:t>
      </w:r>
      <w:r w:rsidR="00454C97">
        <w:t>–</w:t>
      </w:r>
      <w:r>
        <w:t>2019</w:t>
      </w:r>
      <w:r w:rsidR="00F73497">
        <w:tab/>
      </w:r>
      <w:r w:rsidR="006A5508">
        <w:tab/>
      </w:r>
      <w:r>
        <w:t>Fordyce Mitchel Lecture Committee</w:t>
      </w:r>
    </w:p>
    <w:p w14:paraId="25D67241" w14:textId="64057128" w:rsidR="00B85893" w:rsidRDefault="00454C97" w:rsidP="001F1566">
      <w:pPr>
        <w:tabs>
          <w:tab w:val="left" w:pos="720"/>
        </w:tabs>
        <w:ind w:left="900"/>
        <w:rPr>
          <w:bCs/>
        </w:rPr>
      </w:pPr>
      <w:r>
        <w:t>2016–20</w:t>
      </w:r>
      <w:r w:rsidR="00486136">
        <w:t>17</w:t>
      </w:r>
      <w:r w:rsidR="00486136">
        <w:tab/>
      </w:r>
      <w:r w:rsidR="006A5508">
        <w:tab/>
      </w:r>
      <w:r w:rsidR="781B735C">
        <w:t>HG</w:t>
      </w:r>
      <w:r w:rsidR="00486136">
        <w:t>SA Colloquium Committee</w:t>
      </w:r>
    </w:p>
    <w:p w14:paraId="5852DCB6" w14:textId="1B7F1F1D" w:rsidR="0062664F" w:rsidRPr="002107A6" w:rsidRDefault="00486136" w:rsidP="001F1566">
      <w:pPr>
        <w:tabs>
          <w:tab w:val="left" w:pos="720"/>
        </w:tabs>
        <w:ind w:left="900"/>
      </w:pPr>
      <w:r>
        <w:t>2011</w:t>
      </w:r>
      <w:r w:rsidR="00454C97">
        <w:t>–20</w:t>
      </w:r>
      <w:r>
        <w:t>12</w:t>
      </w:r>
      <w:r>
        <w:tab/>
      </w:r>
      <w:r w:rsidR="006A5508">
        <w:tab/>
      </w:r>
      <w:r w:rsidR="781B735C">
        <w:t>HGSA Preside</w:t>
      </w:r>
      <w:r>
        <w:t>nt</w:t>
      </w:r>
    </w:p>
    <w:p w14:paraId="7DEA2714" w14:textId="0BB8A0BF" w:rsidR="0062664F" w:rsidRPr="002107A6" w:rsidRDefault="00486136" w:rsidP="001F1566">
      <w:pPr>
        <w:tabs>
          <w:tab w:val="left" w:pos="720"/>
        </w:tabs>
        <w:ind w:left="900"/>
      </w:pPr>
      <w:r>
        <w:t>2010</w:t>
      </w:r>
      <w:r w:rsidR="00454C97">
        <w:t>–20</w:t>
      </w:r>
      <w:r>
        <w:t>11</w:t>
      </w:r>
      <w:r>
        <w:tab/>
      </w:r>
      <w:r w:rsidR="006A5508">
        <w:tab/>
      </w:r>
      <w:r>
        <w:t>HGSA Secretary</w:t>
      </w:r>
    </w:p>
    <w:p w14:paraId="1DE417CE" w14:textId="156E5030" w:rsidR="6ABD99C8" w:rsidRDefault="6ABD99C8" w:rsidP="6ABD99C8">
      <w:pPr>
        <w:ind w:left="900"/>
      </w:pPr>
    </w:p>
    <w:p w14:paraId="36EDF154" w14:textId="5290D813" w:rsidR="6ABD99C8" w:rsidRDefault="5322FADC" w:rsidP="0097591B">
      <w:pPr>
        <w:pBdr>
          <w:bottom w:val="single" w:sz="4" w:space="1" w:color="auto"/>
        </w:pBdr>
        <w:spacing w:after="160" w:line="259" w:lineRule="auto"/>
        <w:outlineLvl w:val="0"/>
      </w:pPr>
      <w:r w:rsidRPr="5322FADC">
        <w:rPr>
          <w:smallCaps/>
          <w:sz w:val="32"/>
          <w:szCs w:val="32"/>
        </w:rPr>
        <w:t>Outreach</w:t>
      </w:r>
    </w:p>
    <w:p w14:paraId="0AA7DBCD" w14:textId="7A9A0C54" w:rsidR="00247CC8" w:rsidRDefault="00247CC8" w:rsidP="000705DE">
      <w:pPr>
        <w:ind w:left="2880" w:hanging="1980"/>
      </w:pPr>
      <w:r>
        <w:t xml:space="preserve">2017–20 </w:t>
      </w:r>
      <w:r>
        <w:tab/>
        <w:t>National History Day Judge, Missouri State Competition</w:t>
      </w:r>
    </w:p>
    <w:p w14:paraId="677F80FC" w14:textId="26EB8C6E" w:rsidR="00247CC8" w:rsidRDefault="00247CC8" w:rsidP="000705DE">
      <w:pPr>
        <w:ind w:left="2880" w:hanging="1980"/>
      </w:pPr>
      <w:r>
        <w:tab/>
      </w:r>
      <w:r>
        <w:tab/>
        <w:t xml:space="preserve">Categories: Junior Individual Documentary; Junior Group Documentary; Senior Individual Documentary; Senior Website </w:t>
      </w:r>
    </w:p>
    <w:p w14:paraId="148DF3DB" w14:textId="77777777" w:rsidR="0062664F" w:rsidRPr="002107A6" w:rsidRDefault="0062664F" w:rsidP="001F1566">
      <w:pPr>
        <w:ind w:left="900"/>
      </w:pPr>
    </w:p>
    <w:p w14:paraId="24D0DCAC" w14:textId="15B4C94A" w:rsidR="0062664F" w:rsidRPr="005C2AF3" w:rsidRDefault="476043B5" w:rsidP="0097591B">
      <w:pPr>
        <w:pBdr>
          <w:bottom w:val="single" w:sz="4" w:space="1" w:color="auto"/>
        </w:pBdr>
        <w:outlineLvl w:val="0"/>
        <w:rPr>
          <w:smallCaps/>
          <w:sz w:val="32"/>
          <w:szCs w:val="32"/>
        </w:rPr>
      </w:pPr>
      <w:r w:rsidRPr="005C2AF3">
        <w:rPr>
          <w:smallCaps/>
          <w:kern w:val="28"/>
          <w:sz w:val="32"/>
          <w:szCs w:val="32"/>
        </w:rPr>
        <w:t xml:space="preserve">Professional </w:t>
      </w:r>
      <w:r w:rsidR="00C1789A">
        <w:rPr>
          <w:smallCaps/>
          <w:kern w:val="28"/>
          <w:sz w:val="32"/>
          <w:szCs w:val="32"/>
        </w:rPr>
        <w:t>Memberships</w:t>
      </w:r>
    </w:p>
    <w:p w14:paraId="4966538E" w14:textId="77777777" w:rsidR="00442D94" w:rsidRDefault="00442D94" w:rsidP="00760314">
      <w:pPr>
        <w:ind w:left="900"/>
      </w:pPr>
    </w:p>
    <w:p w14:paraId="7BAE6A3A" w14:textId="51A77298" w:rsidR="0062664F" w:rsidRPr="002107A6" w:rsidRDefault="5322FADC" w:rsidP="001F1566">
      <w:pPr>
        <w:tabs>
          <w:tab w:val="left" w:pos="720"/>
        </w:tabs>
        <w:ind w:left="900"/>
      </w:pPr>
      <w:r>
        <w:t>Society for Classical Studies (SCS)</w:t>
      </w:r>
    </w:p>
    <w:p w14:paraId="75A03B89" w14:textId="2F36F32A" w:rsidR="00442D94" w:rsidRDefault="6F00842B" w:rsidP="001F1566">
      <w:pPr>
        <w:tabs>
          <w:tab w:val="left" w:pos="720"/>
        </w:tabs>
        <w:ind w:left="900"/>
      </w:pPr>
      <w:r>
        <w:t>American Historical Association (AHA)</w:t>
      </w:r>
    </w:p>
    <w:p w14:paraId="6EFAC5D9" w14:textId="11C46D24" w:rsidR="6F00842B" w:rsidRDefault="6F00842B" w:rsidP="6F00842B">
      <w:pPr>
        <w:ind w:left="900"/>
      </w:pPr>
      <w:r>
        <w:t>Archaeological Institute of America (AIA)</w:t>
      </w:r>
    </w:p>
    <w:p w14:paraId="6D2E38AA" w14:textId="7D793D70" w:rsidR="0062664F" w:rsidRPr="002107A6" w:rsidRDefault="5322FADC" w:rsidP="001F1566">
      <w:pPr>
        <w:tabs>
          <w:tab w:val="left" w:pos="720"/>
        </w:tabs>
        <w:ind w:left="900"/>
      </w:pPr>
      <w:r>
        <w:t>Association of Ancient Historians (AAH)</w:t>
      </w:r>
    </w:p>
    <w:p w14:paraId="04B62EFC" w14:textId="46837166" w:rsidR="005F65D6" w:rsidRDefault="5322FADC" w:rsidP="6ABD99C8">
      <w:pPr>
        <w:ind w:left="900"/>
      </w:pPr>
      <w:r>
        <w:t>Classical Association of the Middle West and South (CAMWS)</w:t>
      </w:r>
    </w:p>
    <w:p w14:paraId="612EAED5" w14:textId="77777777" w:rsidR="00CC5A69" w:rsidRDefault="00CC5A69" w:rsidP="00CC5A69">
      <w:pPr>
        <w:widowControl/>
        <w:suppressAutoHyphens w:val="0"/>
      </w:pPr>
    </w:p>
    <w:p w14:paraId="7157370E" w14:textId="5D9E2EAF" w:rsidR="008570E7" w:rsidRPr="005C2AF3" w:rsidRDefault="476043B5" w:rsidP="00CC5A69">
      <w:pPr>
        <w:widowControl/>
        <w:pBdr>
          <w:bottom w:val="single" w:sz="4" w:space="1" w:color="auto"/>
        </w:pBdr>
        <w:suppressAutoHyphens w:val="0"/>
        <w:rPr>
          <w:smallCaps/>
          <w:sz w:val="32"/>
          <w:szCs w:val="32"/>
        </w:rPr>
      </w:pPr>
      <w:r w:rsidRPr="005C2AF3">
        <w:rPr>
          <w:smallCaps/>
          <w:kern w:val="28"/>
          <w:sz w:val="32"/>
          <w:szCs w:val="32"/>
        </w:rPr>
        <w:t xml:space="preserve">References </w:t>
      </w:r>
    </w:p>
    <w:p w14:paraId="39E81962" w14:textId="77777777" w:rsidR="008570E7" w:rsidRDefault="008570E7" w:rsidP="00760314">
      <w:pPr>
        <w:ind w:left="900"/>
      </w:pPr>
    </w:p>
    <w:p w14:paraId="1D2826E2" w14:textId="77777777" w:rsidR="00F21FD2" w:rsidRDefault="00F21FD2" w:rsidP="008B2F26">
      <w:pPr>
        <w:spacing w:after="80"/>
        <w:ind w:left="907"/>
        <w:sectPr w:rsidR="00F21FD2" w:rsidSect="00C8226D">
          <w:type w:val="continuous"/>
          <w:pgSz w:w="12240" w:h="15840"/>
          <w:pgMar w:top="1440" w:right="1728" w:bottom="1728" w:left="1728" w:header="720" w:footer="720" w:gutter="0"/>
          <w:cols w:space="720"/>
          <w:titlePg/>
          <w:docGrid w:linePitch="360"/>
        </w:sectPr>
      </w:pPr>
    </w:p>
    <w:p w14:paraId="1822A3D7" w14:textId="00BE3C9E" w:rsidR="008570E7" w:rsidRPr="008964A7" w:rsidRDefault="5322FADC" w:rsidP="00B41311">
      <w:pPr>
        <w:spacing w:after="80"/>
        <w:ind w:left="540"/>
      </w:pPr>
      <w:r>
        <w:t>Ian Worthington</w:t>
      </w:r>
    </w:p>
    <w:p w14:paraId="0FBE7039" w14:textId="4ADB8978" w:rsidR="009F31FF" w:rsidRDefault="5322FADC" w:rsidP="00B41311">
      <w:pPr>
        <w:spacing w:after="80"/>
        <w:ind w:left="540"/>
      </w:pPr>
      <w:r>
        <w:t>Professor in Ancient History</w:t>
      </w:r>
    </w:p>
    <w:p w14:paraId="47DED699" w14:textId="181F60C5" w:rsidR="009F31FF" w:rsidRDefault="5322FADC" w:rsidP="00B41311">
      <w:pPr>
        <w:spacing w:after="80"/>
        <w:ind w:left="540"/>
      </w:pPr>
      <w:proofErr w:type="spellStart"/>
      <w:r>
        <w:t>MacQuarie</w:t>
      </w:r>
      <w:proofErr w:type="spellEnd"/>
      <w:r>
        <w:t xml:space="preserve"> University</w:t>
      </w:r>
    </w:p>
    <w:p w14:paraId="03F41D6A" w14:textId="38F528E6" w:rsidR="008570E7" w:rsidRPr="00A17253" w:rsidRDefault="00A40E72" w:rsidP="00B41311">
      <w:pPr>
        <w:spacing w:after="80"/>
        <w:ind w:left="540"/>
      </w:pPr>
      <w:r w:rsidRPr="00A17253">
        <w:t>ian.worthington@mq.edu.au</w:t>
      </w:r>
      <w:r w:rsidR="008570E7" w:rsidRPr="00A17253">
        <w:tab/>
      </w:r>
    </w:p>
    <w:p w14:paraId="54C1B635" w14:textId="77777777" w:rsidR="00A17253" w:rsidRPr="00A17253" w:rsidRDefault="00A17253" w:rsidP="00B41311">
      <w:pPr>
        <w:widowControl/>
        <w:suppressAutoHyphens w:val="0"/>
        <w:ind w:left="540"/>
        <w:rPr>
          <w:rFonts w:eastAsia="Times New Roman"/>
        </w:rPr>
      </w:pPr>
      <w:r w:rsidRPr="5322FADC">
        <w:rPr>
          <w:color w:val="000000"/>
          <w:kern w:val="0"/>
          <w:shd w:val="clear" w:color="auto" w:fill="FFFFFF"/>
        </w:rPr>
        <w:t>+61 9850-1819</w:t>
      </w:r>
    </w:p>
    <w:p w14:paraId="515ACE6C" w14:textId="77777777" w:rsidR="008570E7" w:rsidRDefault="008570E7" w:rsidP="00B41311">
      <w:pPr>
        <w:spacing w:after="80"/>
        <w:ind w:left="540"/>
      </w:pPr>
    </w:p>
    <w:p w14:paraId="7728574E" w14:textId="61AA3DE6" w:rsidR="002F626B" w:rsidRDefault="5322FADC" w:rsidP="00B41311">
      <w:pPr>
        <w:spacing w:after="80"/>
        <w:ind w:left="540"/>
        <w:outlineLvl w:val="0"/>
      </w:pPr>
      <w:r>
        <w:t xml:space="preserve">Joseph </w:t>
      </w:r>
      <w:proofErr w:type="spellStart"/>
      <w:r>
        <w:t>Roisman</w:t>
      </w:r>
      <w:proofErr w:type="spellEnd"/>
    </w:p>
    <w:p w14:paraId="54D7137D" w14:textId="70269207" w:rsidR="002F626B" w:rsidRDefault="0014335F" w:rsidP="00B41311">
      <w:pPr>
        <w:spacing w:after="80"/>
        <w:ind w:left="540"/>
      </w:pPr>
      <w:r>
        <w:t xml:space="preserve">Emeritus </w:t>
      </w:r>
      <w:r w:rsidR="5322FADC">
        <w:t>Professor of Classics</w:t>
      </w:r>
    </w:p>
    <w:p w14:paraId="5A1380E5" w14:textId="06DC156D" w:rsidR="002F626B" w:rsidRDefault="5322FADC" w:rsidP="00B41311">
      <w:pPr>
        <w:spacing w:after="80"/>
        <w:ind w:left="540"/>
      </w:pPr>
      <w:r>
        <w:t>Colby College</w:t>
      </w:r>
    </w:p>
    <w:p w14:paraId="1AAA0059" w14:textId="566F0E22" w:rsidR="002F626B" w:rsidRDefault="5322FADC" w:rsidP="00B41311">
      <w:pPr>
        <w:spacing w:after="80"/>
        <w:ind w:left="540"/>
      </w:pPr>
      <w:r>
        <w:t>joseph.roisman@colby.edu</w:t>
      </w:r>
    </w:p>
    <w:p w14:paraId="442EA7D3" w14:textId="0E82449C" w:rsidR="00916410" w:rsidRDefault="5322FADC" w:rsidP="00B41311">
      <w:pPr>
        <w:spacing w:after="80"/>
        <w:ind w:left="540"/>
      </w:pPr>
      <w:r>
        <w:t>(1) 207-859-4163</w:t>
      </w:r>
    </w:p>
    <w:p w14:paraId="53ECA368" w14:textId="77777777" w:rsidR="00B41311" w:rsidRPr="008964A7" w:rsidRDefault="00916410" w:rsidP="00B41311">
      <w:pPr>
        <w:spacing w:after="80"/>
        <w:ind w:left="540"/>
        <w:outlineLvl w:val="0"/>
      </w:pPr>
      <w:r>
        <w:br w:type="column"/>
      </w:r>
      <w:r w:rsidR="00B41311">
        <w:t>Anatole Mori</w:t>
      </w:r>
    </w:p>
    <w:p w14:paraId="3845B9A7" w14:textId="77777777" w:rsidR="00B41311" w:rsidRDefault="00B41311" w:rsidP="00B41311">
      <w:pPr>
        <w:spacing w:after="80"/>
        <w:ind w:left="540"/>
      </w:pPr>
      <w:r>
        <w:t>Chair of Ancient Mediterranean Studies</w:t>
      </w:r>
    </w:p>
    <w:p w14:paraId="65F01295" w14:textId="77777777" w:rsidR="00B41311" w:rsidRDefault="00B41311" w:rsidP="00B41311">
      <w:pPr>
        <w:spacing w:after="80"/>
        <w:ind w:left="540"/>
      </w:pPr>
      <w:r>
        <w:t>University of Missouri</w:t>
      </w:r>
      <w:r w:rsidRPr="008964A7">
        <w:tab/>
      </w:r>
    </w:p>
    <w:p w14:paraId="4605D2F1" w14:textId="37839CFA" w:rsidR="00B41311" w:rsidRPr="008964A7" w:rsidRDefault="005A55EC" w:rsidP="00B41311">
      <w:pPr>
        <w:spacing w:after="80"/>
        <w:ind w:left="540"/>
      </w:pPr>
      <w:r>
        <w:t>m</w:t>
      </w:r>
      <w:r w:rsidR="00B41311">
        <w:t>ori</w:t>
      </w:r>
      <w:r>
        <w:t>a</w:t>
      </w:r>
      <w:r w:rsidR="00B41311">
        <w:t xml:space="preserve">@missouri.edu </w:t>
      </w:r>
    </w:p>
    <w:p w14:paraId="687A4835" w14:textId="77777777" w:rsidR="00B41311" w:rsidRDefault="00B41311" w:rsidP="00B41311">
      <w:pPr>
        <w:spacing w:after="80"/>
        <w:ind w:left="540"/>
      </w:pPr>
      <w:r>
        <w:t>(1) 573-882-0679</w:t>
      </w:r>
    </w:p>
    <w:p w14:paraId="3630FF3B" w14:textId="77777777" w:rsidR="00B41311" w:rsidRPr="008964A7" w:rsidRDefault="00B41311" w:rsidP="00B41311">
      <w:pPr>
        <w:spacing w:after="80"/>
        <w:ind w:left="540"/>
      </w:pPr>
    </w:p>
    <w:p w14:paraId="215D97A6" w14:textId="1CAD01FB" w:rsidR="29210798" w:rsidRDefault="1532FB02" w:rsidP="00B41311">
      <w:pPr>
        <w:spacing w:after="80"/>
        <w:ind w:left="540"/>
      </w:pPr>
      <w:r>
        <w:t xml:space="preserve">Theodore </w:t>
      </w:r>
      <w:proofErr w:type="spellStart"/>
      <w:r>
        <w:t>Tarkow</w:t>
      </w:r>
      <w:proofErr w:type="spellEnd"/>
    </w:p>
    <w:p w14:paraId="1739629F" w14:textId="1EF1A31D" w:rsidR="009F31FF" w:rsidRDefault="5322FADC" w:rsidP="00B41311">
      <w:pPr>
        <w:spacing w:after="80"/>
        <w:ind w:left="540"/>
      </w:pPr>
      <w:r>
        <w:t>Associate Dean of Arts and Sciences</w:t>
      </w:r>
    </w:p>
    <w:p w14:paraId="0F893CE4" w14:textId="370B506D" w:rsidR="009F31FF" w:rsidRDefault="5322FADC" w:rsidP="00B41311">
      <w:pPr>
        <w:spacing w:after="80"/>
        <w:ind w:left="540"/>
      </w:pPr>
      <w:r>
        <w:t>University of Missouri</w:t>
      </w:r>
    </w:p>
    <w:p w14:paraId="0CB69398" w14:textId="03AD9DD1" w:rsidR="29210798" w:rsidRDefault="005A55EC" w:rsidP="00B41311">
      <w:pPr>
        <w:spacing w:after="80"/>
        <w:ind w:left="540"/>
      </w:pPr>
      <w:r>
        <w:t>tarkowt</w:t>
      </w:r>
      <w:r w:rsidR="5322FADC">
        <w:t>@missouri.edu</w:t>
      </w:r>
    </w:p>
    <w:p w14:paraId="0EA0E2D6" w14:textId="0F0AFBAF" w:rsidR="29210798" w:rsidRDefault="5322FADC" w:rsidP="00B41311">
      <w:pPr>
        <w:spacing w:after="80"/>
        <w:ind w:left="540"/>
        <w:rPr>
          <w:rFonts w:eastAsia="Times New Roman"/>
        </w:rPr>
      </w:pPr>
      <w:r>
        <w:lastRenderedPageBreak/>
        <w:t>(1) 573-882-4421</w:t>
      </w:r>
    </w:p>
    <w:p w14:paraId="43381D2D" w14:textId="77777777" w:rsidR="002F626B" w:rsidRDefault="002F626B" w:rsidP="00B52457">
      <w:pPr>
        <w:spacing w:after="80"/>
        <w:rPr>
          <w:rFonts w:eastAsia="Times New Roman"/>
        </w:rPr>
      </w:pPr>
    </w:p>
    <w:sectPr w:rsidR="002F626B" w:rsidSect="00916410">
      <w:type w:val="continuous"/>
      <w:pgSz w:w="12240" w:h="15840"/>
      <w:pgMar w:top="1440" w:right="1440" w:bottom="1728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926C0" w14:textId="77777777" w:rsidR="00552233" w:rsidRDefault="00552233" w:rsidP="00177758">
      <w:r>
        <w:separator/>
      </w:r>
    </w:p>
  </w:endnote>
  <w:endnote w:type="continuationSeparator" w:id="0">
    <w:p w14:paraId="10265105" w14:textId="77777777" w:rsidR="00552233" w:rsidRDefault="00552233" w:rsidP="0017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OpenSymbol">
    <w:altName w:val="Arial Unicode MS"/>
    <w:panose1 w:val="020B0604020202020204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New Athena Unicode">
    <w:altName w:val="Segoe UI Historic"/>
    <w:panose1 w:val="020B0604020202020204"/>
    <w:charset w:val="00"/>
    <w:family w:val="auto"/>
    <w:pitch w:val="variable"/>
    <w:sig w:usb0="E00002FF" w:usb1="5200E8FB" w:usb2="00200000" w:usb3="00000000" w:csb0="0000008F" w:csb1="00000000"/>
  </w:font>
  <w:font w:name="Aristarcoj,Times New Roman">
    <w:altName w:val="Times New Roman"/>
    <w:panose1 w:val="020B0604020202020204"/>
    <w:charset w:val="00"/>
    <w:family w:val="roman"/>
    <w:notTrueType/>
    <w:pitch w:val="default"/>
  </w:font>
  <w:font w:name="Times,Times New Roman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29A1F" w14:textId="77777777" w:rsidR="00092ECF" w:rsidRDefault="00092ECF" w:rsidP="004700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CA5D4" w14:textId="77777777" w:rsidR="00092ECF" w:rsidRDefault="00092ECF" w:rsidP="004700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50EA8" w14:textId="77777777" w:rsidR="00092ECF" w:rsidRDefault="00092ECF" w:rsidP="004700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3B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AFD9D9" w14:textId="77777777" w:rsidR="00092ECF" w:rsidRDefault="00092ECF" w:rsidP="004700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45706" w14:textId="77777777" w:rsidR="00552233" w:rsidRDefault="00552233" w:rsidP="00177758">
      <w:r>
        <w:separator/>
      </w:r>
    </w:p>
  </w:footnote>
  <w:footnote w:type="continuationSeparator" w:id="0">
    <w:p w14:paraId="62252A51" w14:textId="77777777" w:rsidR="00552233" w:rsidRDefault="00552233" w:rsidP="00177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8A87A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displayBackgroundShape/>
  <w:embedSystemFonts/>
  <w:proofState w:spelling="clean" w:grammar="clean"/>
  <w:defaultTabStop w:val="709"/>
  <w:defaultTableStyle w:val="Normal"/>
  <w:drawingGridHorizontalSpacing w:val="12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D2"/>
    <w:rsid w:val="000105F5"/>
    <w:rsid w:val="0001222A"/>
    <w:rsid w:val="00022B09"/>
    <w:rsid w:val="000257A5"/>
    <w:rsid w:val="000331B9"/>
    <w:rsid w:val="000346AE"/>
    <w:rsid w:val="00037B9C"/>
    <w:rsid w:val="000409CA"/>
    <w:rsid w:val="00042241"/>
    <w:rsid w:val="000507B6"/>
    <w:rsid w:val="00065341"/>
    <w:rsid w:val="0006696F"/>
    <w:rsid w:val="000705DE"/>
    <w:rsid w:val="00070813"/>
    <w:rsid w:val="00070A57"/>
    <w:rsid w:val="0007253B"/>
    <w:rsid w:val="000728ED"/>
    <w:rsid w:val="00073132"/>
    <w:rsid w:val="0008193C"/>
    <w:rsid w:val="0008442F"/>
    <w:rsid w:val="00092ECF"/>
    <w:rsid w:val="00097608"/>
    <w:rsid w:val="000A066C"/>
    <w:rsid w:val="000D30E4"/>
    <w:rsid w:val="000E2D29"/>
    <w:rsid w:val="000F1C37"/>
    <w:rsid w:val="000F1EF1"/>
    <w:rsid w:val="000F3955"/>
    <w:rsid w:val="00100382"/>
    <w:rsid w:val="00113EF2"/>
    <w:rsid w:val="00126F5D"/>
    <w:rsid w:val="00131E00"/>
    <w:rsid w:val="00137866"/>
    <w:rsid w:val="001425EC"/>
    <w:rsid w:val="0014335F"/>
    <w:rsid w:val="00144140"/>
    <w:rsid w:val="00150E87"/>
    <w:rsid w:val="00154E0D"/>
    <w:rsid w:val="00155507"/>
    <w:rsid w:val="00166A0D"/>
    <w:rsid w:val="00171240"/>
    <w:rsid w:val="00174C42"/>
    <w:rsid w:val="00177758"/>
    <w:rsid w:val="001C7F35"/>
    <w:rsid w:val="001E1F3C"/>
    <w:rsid w:val="001E2C40"/>
    <w:rsid w:val="001F09F6"/>
    <w:rsid w:val="001F1566"/>
    <w:rsid w:val="00200C1C"/>
    <w:rsid w:val="00203421"/>
    <w:rsid w:val="002107A6"/>
    <w:rsid w:val="002175C6"/>
    <w:rsid w:val="00234FB8"/>
    <w:rsid w:val="0024499F"/>
    <w:rsid w:val="00247CC8"/>
    <w:rsid w:val="00251D27"/>
    <w:rsid w:val="002629FB"/>
    <w:rsid w:val="00263A0E"/>
    <w:rsid w:val="00264CDC"/>
    <w:rsid w:val="002652E4"/>
    <w:rsid w:val="00290655"/>
    <w:rsid w:val="00294C49"/>
    <w:rsid w:val="002A6C9D"/>
    <w:rsid w:val="002B1424"/>
    <w:rsid w:val="002B38A4"/>
    <w:rsid w:val="002B75C6"/>
    <w:rsid w:val="002C1D32"/>
    <w:rsid w:val="002D1296"/>
    <w:rsid w:val="002E0910"/>
    <w:rsid w:val="002F2BF8"/>
    <w:rsid w:val="002F626B"/>
    <w:rsid w:val="00307A9B"/>
    <w:rsid w:val="00320094"/>
    <w:rsid w:val="0032117D"/>
    <w:rsid w:val="003246BC"/>
    <w:rsid w:val="00346A3D"/>
    <w:rsid w:val="00364542"/>
    <w:rsid w:val="00364AF5"/>
    <w:rsid w:val="00372225"/>
    <w:rsid w:val="003742FB"/>
    <w:rsid w:val="0037672F"/>
    <w:rsid w:val="00384BF0"/>
    <w:rsid w:val="003A615B"/>
    <w:rsid w:val="003A729E"/>
    <w:rsid w:val="003B1493"/>
    <w:rsid w:val="003C59C7"/>
    <w:rsid w:val="003D46F0"/>
    <w:rsid w:val="003E2CE8"/>
    <w:rsid w:val="003E4296"/>
    <w:rsid w:val="004256E9"/>
    <w:rsid w:val="00426D5B"/>
    <w:rsid w:val="004277FC"/>
    <w:rsid w:val="00434D42"/>
    <w:rsid w:val="00442D94"/>
    <w:rsid w:val="004448CD"/>
    <w:rsid w:val="00451730"/>
    <w:rsid w:val="00454C97"/>
    <w:rsid w:val="00460121"/>
    <w:rsid w:val="00466D8D"/>
    <w:rsid w:val="00467FD0"/>
    <w:rsid w:val="0047008B"/>
    <w:rsid w:val="004707CA"/>
    <w:rsid w:val="0048248B"/>
    <w:rsid w:val="00486136"/>
    <w:rsid w:val="00495803"/>
    <w:rsid w:val="004A7B9B"/>
    <w:rsid w:val="004B5E5F"/>
    <w:rsid w:val="004B6EB6"/>
    <w:rsid w:val="004C18B9"/>
    <w:rsid w:val="005008BA"/>
    <w:rsid w:val="00510C20"/>
    <w:rsid w:val="00531F36"/>
    <w:rsid w:val="005343B4"/>
    <w:rsid w:val="00551D6D"/>
    <w:rsid w:val="00552233"/>
    <w:rsid w:val="005A1F25"/>
    <w:rsid w:val="005A55EC"/>
    <w:rsid w:val="005A658F"/>
    <w:rsid w:val="005B4C4B"/>
    <w:rsid w:val="005B4F1D"/>
    <w:rsid w:val="005B6C2C"/>
    <w:rsid w:val="005C2AF3"/>
    <w:rsid w:val="005C446E"/>
    <w:rsid w:val="005C69C1"/>
    <w:rsid w:val="005D3589"/>
    <w:rsid w:val="005D4620"/>
    <w:rsid w:val="005F4417"/>
    <w:rsid w:val="005F65D6"/>
    <w:rsid w:val="006053A6"/>
    <w:rsid w:val="0062664F"/>
    <w:rsid w:val="00647B58"/>
    <w:rsid w:val="0065215E"/>
    <w:rsid w:val="006525C4"/>
    <w:rsid w:val="00660B3D"/>
    <w:rsid w:val="00676DA4"/>
    <w:rsid w:val="00680B67"/>
    <w:rsid w:val="006A5508"/>
    <w:rsid w:val="006B7B3F"/>
    <w:rsid w:val="006B7BBE"/>
    <w:rsid w:val="006D4720"/>
    <w:rsid w:val="006E35D0"/>
    <w:rsid w:val="006F04A2"/>
    <w:rsid w:val="006F12AB"/>
    <w:rsid w:val="00704359"/>
    <w:rsid w:val="00712C40"/>
    <w:rsid w:val="007163D1"/>
    <w:rsid w:val="007229AF"/>
    <w:rsid w:val="007243C4"/>
    <w:rsid w:val="00724628"/>
    <w:rsid w:val="00730859"/>
    <w:rsid w:val="007359D9"/>
    <w:rsid w:val="007452CE"/>
    <w:rsid w:val="00760314"/>
    <w:rsid w:val="007670D8"/>
    <w:rsid w:val="00777290"/>
    <w:rsid w:val="00784374"/>
    <w:rsid w:val="0078635C"/>
    <w:rsid w:val="00786BAA"/>
    <w:rsid w:val="0079712F"/>
    <w:rsid w:val="007A1BF5"/>
    <w:rsid w:val="007E43DB"/>
    <w:rsid w:val="007E46A7"/>
    <w:rsid w:val="007E75D9"/>
    <w:rsid w:val="007E7A2E"/>
    <w:rsid w:val="007F3A71"/>
    <w:rsid w:val="007F7B2F"/>
    <w:rsid w:val="0080778D"/>
    <w:rsid w:val="008103C3"/>
    <w:rsid w:val="008146B9"/>
    <w:rsid w:val="008206BE"/>
    <w:rsid w:val="00820B34"/>
    <w:rsid w:val="00840548"/>
    <w:rsid w:val="0085221E"/>
    <w:rsid w:val="008570E7"/>
    <w:rsid w:val="00867BC2"/>
    <w:rsid w:val="0087311D"/>
    <w:rsid w:val="00886AAD"/>
    <w:rsid w:val="008947EE"/>
    <w:rsid w:val="008964A7"/>
    <w:rsid w:val="008A3DEC"/>
    <w:rsid w:val="008B2F26"/>
    <w:rsid w:val="008C50EA"/>
    <w:rsid w:val="008D1BF0"/>
    <w:rsid w:val="008D2A23"/>
    <w:rsid w:val="008E127F"/>
    <w:rsid w:val="008E1EFC"/>
    <w:rsid w:val="008F242E"/>
    <w:rsid w:val="0090536C"/>
    <w:rsid w:val="00906D6C"/>
    <w:rsid w:val="0091350B"/>
    <w:rsid w:val="0091366E"/>
    <w:rsid w:val="00916410"/>
    <w:rsid w:val="009340BC"/>
    <w:rsid w:val="00935797"/>
    <w:rsid w:val="009444B7"/>
    <w:rsid w:val="00963EA5"/>
    <w:rsid w:val="0096583F"/>
    <w:rsid w:val="0097591B"/>
    <w:rsid w:val="00977032"/>
    <w:rsid w:val="0099056D"/>
    <w:rsid w:val="009A478F"/>
    <w:rsid w:val="009A47BE"/>
    <w:rsid w:val="009B4B62"/>
    <w:rsid w:val="009B78D2"/>
    <w:rsid w:val="009C00BC"/>
    <w:rsid w:val="009C7E16"/>
    <w:rsid w:val="009E1531"/>
    <w:rsid w:val="009E46D0"/>
    <w:rsid w:val="009F31FF"/>
    <w:rsid w:val="00A04DEB"/>
    <w:rsid w:val="00A17253"/>
    <w:rsid w:val="00A262E6"/>
    <w:rsid w:val="00A40E72"/>
    <w:rsid w:val="00A43E28"/>
    <w:rsid w:val="00A441BA"/>
    <w:rsid w:val="00A50BFB"/>
    <w:rsid w:val="00A52994"/>
    <w:rsid w:val="00A529F1"/>
    <w:rsid w:val="00A54C64"/>
    <w:rsid w:val="00A65A47"/>
    <w:rsid w:val="00A676EE"/>
    <w:rsid w:val="00A97086"/>
    <w:rsid w:val="00AA1516"/>
    <w:rsid w:val="00AA1E94"/>
    <w:rsid w:val="00AA69AD"/>
    <w:rsid w:val="00AB0939"/>
    <w:rsid w:val="00AB7B7D"/>
    <w:rsid w:val="00AC0849"/>
    <w:rsid w:val="00AE2324"/>
    <w:rsid w:val="00AE4107"/>
    <w:rsid w:val="00AF0CC4"/>
    <w:rsid w:val="00AF3629"/>
    <w:rsid w:val="00B00493"/>
    <w:rsid w:val="00B07896"/>
    <w:rsid w:val="00B115F6"/>
    <w:rsid w:val="00B26766"/>
    <w:rsid w:val="00B32535"/>
    <w:rsid w:val="00B41311"/>
    <w:rsid w:val="00B45B4E"/>
    <w:rsid w:val="00B52457"/>
    <w:rsid w:val="00B565B0"/>
    <w:rsid w:val="00B60865"/>
    <w:rsid w:val="00B66D98"/>
    <w:rsid w:val="00B751FF"/>
    <w:rsid w:val="00B75808"/>
    <w:rsid w:val="00B81125"/>
    <w:rsid w:val="00B85893"/>
    <w:rsid w:val="00B95F3E"/>
    <w:rsid w:val="00B97D63"/>
    <w:rsid w:val="00BB6FDB"/>
    <w:rsid w:val="00BC4BC0"/>
    <w:rsid w:val="00BD4589"/>
    <w:rsid w:val="00BF0A9E"/>
    <w:rsid w:val="00BF4AB2"/>
    <w:rsid w:val="00C0227E"/>
    <w:rsid w:val="00C1789A"/>
    <w:rsid w:val="00C17E8E"/>
    <w:rsid w:val="00C31A01"/>
    <w:rsid w:val="00C43FD7"/>
    <w:rsid w:val="00C47FA8"/>
    <w:rsid w:val="00C52DE1"/>
    <w:rsid w:val="00C5484F"/>
    <w:rsid w:val="00C71C89"/>
    <w:rsid w:val="00C741CA"/>
    <w:rsid w:val="00C77868"/>
    <w:rsid w:val="00C809DC"/>
    <w:rsid w:val="00C8212B"/>
    <w:rsid w:val="00C8226D"/>
    <w:rsid w:val="00C83AAF"/>
    <w:rsid w:val="00C872D2"/>
    <w:rsid w:val="00C90E9C"/>
    <w:rsid w:val="00CA33BF"/>
    <w:rsid w:val="00CC5A69"/>
    <w:rsid w:val="00CD05E8"/>
    <w:rsid w:val="00CD1A44"/>
    <w:rsid w:val="00CD1D86"/>
    <w:rsid w:val="00CD6058"/>
    <w:rsid w:val="00CE238A"/>
    <w:rsid w:val="00CE6200"/>
    <w:rsid w:val="00CF39BB"/>
    <w:rsid w:val="00CF4213"/>
    <w:rsid w:val="00D06217"/>
    <w:rsid w:val="00D11C0C"/>
    <w:rsid w:val="00D1629C"/>
    <w:rsid w:val="00D22285"/>
    <w:rsid w:val="00D25F2E"/>
    <w:rsid w:val="00D342D5"/>
    <w:rsid w:val="00D648C3"/>
    <w:rsid w:val="00D84AB6"/>
    <w:rsid w:val="00D92BAC"/>
    <w:rsid w:val="00DA2DF3"/>
    <w:rsid w:val="00DC53C9"/>
    <w:rsid w:val="00DD26AB"/>
    <w:rsid w:val="00DE03EE"/>
    <w:rsid w:val="00DE6AB6"/>
    <w:rsid w:val="00E02CED"/>
    <w:rsid w:val="00E10E1A"/>
    <w:rsid w:val="00E1329E"/>
    <w:rsid w:val="00E132AE"/>
    <w:rsid w:val="00E2544D"/>
    <w:rsid w:val="00E26D86"/>
    <w:rsid w:val="00E3729D"/>
    <w:rsid w:val="00E52051"/>
    <w:rsid w:val="00E563FA"/>
    <w:rsid w:val="00E57FF8"/>
    <w:rsid w:val="00E62A00"/>
    <w:rsid w:val="00E74D7C"/>
    <w:rsid w:val="00E80ABD"/>
    <w:rsid w:val="00EA0D4B"/>
    <w:rsid w:val="00EB5D85"/>
    <w:rsid w:val="00EC7017"/>
    <w:rsid w:val="00ED2738"/>
    <w:rsid w:val="00ED2EF2"/>
    <w:rsid w:val="00EF2A1A"/>
    <w:rsid w:val="00EF40E8"/>
    <w:rsid w:val="00EF464F"/>
    <w:rsid w:val="00F10E40"/>
    <w:rsid w:val="00F21FD2"/>
    <w:rsid w:val="00F30856"/>
    <w:rsid w:val="00F433B5"/>
    <w:rsid w:val="00F554B3"/>
    <w:rsid w:val="00F73497"/>
    <w:rsid w:val="00F736D9"/>
    <w:rsid w:val="00F73F17"/>
    <w:rsid w:val="00F80C57"/>
    <w:rsid w:val="00F80E5B"/>
    <w:rsid w:val="00FB6491"/>
    <w:rsid w:val="00FC3E7F"/>
    <w:rsid w:val="00FC5F7A"/>
    <w:rsid w:val="00FD765B"/>
    <w:rsid w:val="00FE016A"/>
    <w:rsid w:val="00FE56E3"/>
    <w:rsid w:val="00FE571F"/>
    <w:rsid w:val="02C7E38B"/>
    <w:rsid w:val="0AA1C4F1"/>
    <w:rsid w:val="0C726FDB"/>
    <w:rsid w:val="1515A761"/>
    <w:rsid w:val="1532FB02"/>
    <w:rsid w:val="1563A793"/>
    <w:rsid w:val="16617F0C"/>
    <w:rsid w:val="1E285C3B"/>
    <w:rsid w:val="2099A879"/>
    <w:rsid w:val="215158E0"/>
    <w:rsid w:val="24987F3A"/>
    <w:rsid w:val="26546395"/>
    <w:rsid w:val="2727FC66"/>
    <w:rsid w:val="28083D3D"/>
    <w:rsid w:val="29210798"/>
    <w:rsid w:val="357B545C"/>
    <w:rsid w:val="3878FE77"/>
    <w:rsid w:val="392DD615"/>
    <w:rsid w:val="3CD048D4"/>
    <w:rsid w:val="3D199D55"/>
    <w:rsid w:val="3D99DB51"/>
    <w:rsid w:val="3DB128D7"/>
    <w:rsid w:val="3FC499CB"/>
    <w:rsid w:val="41A25677"/>
    <w:rsid w:val="4407F92F"/>
    <w:rsid w:val="445E4DA7"/>
    <w:rsid w:val="46174F83"/>
    <w:rsid w:val="476043B5"/>
    <w:rsid w:val="4AA4E258"/>
    <w:rsid w:val="4B05B5F4"/>
    <w:rsid w:val="4B3F11CF"/>
    <w:rsid w:val="4B5FE7A3"/>
    <w:rsid w:val="4FCEF90F"/>
    <w:rsid w:val="51FC495D"/>
    <w:rsid w:val="5322FADC"/>
    <w:rsid w:val="53472205"/>
    <w:rsid w:val="5621E7B7"/>
    <w:rsid w:val="56640FF5"/>
    <w:rsid w:val="5899A71A"/>
    <w:rsid w:val="5A3357A6"/>
    <w:rsid w:val="5C9ADC47"/>
    <w:rsid w:val="64D4F4D5"/>
    <w:rsid w:val="6A89AC07"/>
    <w:rsid w:val="6ABD99C8"/>
    <w:rsid w:val="6C28D33D"/>
    <w:rsid w:val="6ECBAC67"/>
    <w:rsid w:val="6F00842B"/>
    <w:rsid w:val="6F98DD8A"/>
    <w:rsid w:val="71A84DC9"/>
    <w:rsid w:val="73E93D47"/>
    <w:rsid w:val="781B735C"/>
    <w:rsid w:val="783A6E4B"/>
    <w:rsid w:val="7F9BC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3CA1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uiPriority w:val="99"/>
    <w:unhideWhenUsed/>
    <w:rsid w:val="001777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758"/>
    <w:rPr>
      <w:rFonts w:eastAsia="Arial Unicode MS"/>
      <w:kern w:val="1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77758"/>
  </w:style>
  <w:style w:type="character" w:styleId="Hyperlink">
    <w:name w:val="Hyperlink"/>
    <w:basedOn w:val="DefaultParagraphFont"/>
    <w:uiPriority w:val="99"/>
    <w:unhideWhenUsed/>
    <w:rsid w:val="005F44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441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F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F5D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7C40B58-A62A-2745-B5BE-CB3F495C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1475</Words>
  <Characters>8410</Characters>
  <Application>Microsoft Office Word</Application>
  <DocSecurity>0</DocSecurity>
  <Lines>70</Lines>
  <Paragraphs>19</Paragraphs>
  <ScaleCrop>false</ScaleCrop>
  <Company>Your Company Name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Nudell</dc:creator>
  <cp:keywords/>
  <cp:lastModifiedBy>Nudell, Joshua</cp:lastModifiedBy>
  <cp:revision>12</cp:revision>
  <cp:lastPrinted>1901-01-01T06:00:00Z</cp:lastPrinted>
  <dcterms:created xsi:type="dcterms:W3CDTF">2019-10-25T20:26:00Z</dcterms:created>
  <dcterms:modified xsi:type="dcterms:W3CDTF">2020-06-08T14:06:00Z</dcterms:modified>
</cp:coreProperties>
</file>